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78B7F0A" w:rsidR="00E66558" w:rsidRDefault="001B24A0">
      <w:pPr>
        <w:pStyle w:val="Heading1"/>
      </w:pPr>
      <w:bookmarkStart w:id="0" w:name="_Toc400361362"/>
      <w:bookmarkStart w:id="1" w:name="_Toc443397153"/>
      <w:bookmarkStart w:id="2" w:name="_Toc357771638"/>
      <w:bookmarkStart w:id="3" w:name="_Toc346793416"/>
      <w:bookmarkStart w:id="4" w:name="_Toc328122777"/>
      <w:r>
        <w:rPr>
          <w:noProof/>
        </w:rPr>
        <mc:AlternateContent>
          <mc:Choice Requires="wps">
            <w:drawing>
              <wp:anchor distT="0" distB="0" distL="114300" distR="114300" simplePos="0" relativeHeight="251659264" behindDoc="0" locked="0" layoutInCell="1" allowOverlap="1" wp14:anchorId="5D9563AB" wp14:editId="1B36A266">
                <wp:simplePos x="0" y="0"/>
                <wp:positionH relativeFrom="column">
                  <wp:posOffset>4423410</wp:posOffset>
                </wp:positionH>
                <wp:positionV relativeFrom="paragraph">
                  <wp:posOffset>-593090</wp:posOffset>
                </wp:positionV>
                <wp:extent cx="1346200" cy="1054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46200" cy="1054100"/>
                        </a:xfrm>
                        <a:prstGeom prst="rect">
                          <a:avLst/>
                        </a:prstGeom>
                        <a:solidFill>
                          <a:schemeClr val="lt1"/>
                        </a:solidFill>
                        <a:ln w="6350">
                          <a:noFill/>
                        </a:ln>
                      </wps:spPr>
                      <wps:txbx>
                        <w:txbxContent>
                          <w:p w14:paraId="3E1D2559" w14:textId="6226BED6" w:rsidR="001B24A0" w:rsidRDefault="001B24A0">
                            <w:r>
                              <w:rPr>
                                <w:noProof/>
                              </w:rPr>
                              <w:drawing>
                                <wp:inline distT="0" distB="0" distL="0" distR="0" wp14:anchorId="03740691" wp14:editId="1389DB0C">
                                  <wp:extent cx="1156970" cy="1156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56970" cy="1156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9563AB" id="_x0000_t202" coordsize="21600,21600" o:spt="202" path="m,l,21600r21600,l21600,xe">
                <v:stroke joinstyle="miter"/>
                <v:path gradientshapeok="t" o:connecttype="rect"/>
              </v:shapetype>
              <v:shape id="Text Box 2" o:spid="_x0000_s1026" type="#_x0000_t202" style="position:absolute;margin-left:348.3pt;margin-top:-46.7pt;width:106pt;height: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" fillcolor="white [3201]" stroked="f" strokeweight=".5pt">
                <v:textbox>
                  <w:txbxContent>
                    <w:p w14:paraId="3E1D2559" w14:textId="6226BED6" w:rsidR="001B24A0" w:rsidRDefault="001B24A0">
                      <w:r>
                        <w:rPr>
                          <w:noProof/>
                        </w:rPr>
                        <w:drawing>
                          <wp:inline distT="0" distB="0" distL="0" distR="0" wp14:anchorId="03740691" wp14:editId="1389DB0C">
                            <wp:extent cx="1156970" cy="1156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56970" cy="1156970"/>
                                    </a:xfrm>
                                    <a:prstGeom prst="rect">
                                      <a:avLst/>
                                    </a:prstGeom>
                                  </pic:spPr>
                                </pic:pic>
                              </a:graphicData>
                            </a:graphic>
                          </wp:inline>
                        </w:drawing>
                      </w:r>
                    </w:p>
                  </w:txbxContent>
                </v:textbox>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8E24572" w:rsidR="00E66558" w:rsidRDefault="009D71E8" w:rsidP="47FEB853">
      <w:pPr>
        <w:pStyle w:val="Heading2"/>
        <w:rPr>
          <w:b w:val="0"/>
          <w:color w:val="auto"/>
          <w:sz w:val="24"/>
          <w:szCs w:val="24"/>
        </w:rPr>
      </w:pPr>
      <w:r w:rsidRPr="47FEB853">
        <w:rPr>
          <w:b w:val="0"/>
          <w:color w:val="auto"/>
          <w:sz w:val="24"/>
          <w:szCs w:val="24"/>
        </w:rPr>
        <w:t>This statement details our school’s use of pupil premium (and recovery premium for the 202</w:t>
      </w:r>
      <w:r w:rsidR="00AD63B1">
        <w:rPr>
          <w:b w:val="0"/>
          <w:color w:val="auto"/>
          <w:sz w:val="24"/>
          <w:szCs w:val="24"/>
        </w:rPr>
        <w:t>3</w:t>
      </w:r>
      <w:r w:rsidRPr="47FEB853">
        <w:rPr>
          <w:b w:val="0"/>
          <w:color w:val="auto"/>
          <w:sz w:val="24"/>
          <w:szCs w:val="24"/>
        </w:rPr>
        <w:t xml:space="preserve"> to 202</w:t>
      </w:r>
      <w:r w:rsidR="00AD63B1">
        <w:rPr>
          <w:b w:val="0"/>
          <w:color w:val="auto"/>
          <w:sz w:val="24"/>
          <w:szCs w:val="24"/>
        </w:rPr>
        <w:t>4</w:t>
      </w:r>
      <w:r w:rsidRPr="47FEB853">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81C7689" w:rsidR="00E66558" w:rsidRDefault="00B0437B">
            <w:pPr>
              <w:pStyle w:val="TableRow"/>
            </w:pPr>
            <w:r>
              <w:t>St Ambrose Catholic Primary School</w:t>
            </w:r>
          </w:p>
        </w:tc>
      </w:tr>
      <w:tr w:rsidR="00E66558" w14:paraId="2A7D54BD"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DF95849" w:rsidR="00E66558" w:rsidRDefault="00AD0BB7">
            <w:pPr>
              <w:pStyle w:val="TableRow"/>
            </w:pPr>
            <w:r>
              <w:t>202</w:t>
            </w:r>
          </w:p>
        </w:tc>
      </w:tr>
      <w:tr w:rsidR="00E66558" w14:paraId="2A7D54C0"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DA7FED" w:rsidRDefault="009D71E8">
            <w:pPr>
              <w:pStyle w:val="TableRow"/>
            </w:pPr>
            <w:r w:rsidRPr="00DA7FED">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A435954" w:rsidR="00E66558" w:rsidRPr="00DA7FED" w:rsidRDefault="00DA7FED" w:rsidP="00DA7FED">
            <w:pPr>
              <w:pStyle w:val="TableRow"/>
              <w:ind w:left="0"/>
            </w:pPr>
            <w:r w:rsidRPr="00DA7FED">
              <w:t xml:space="preserve">  </w:t>
            </w:r>
            <w:r w:rsidR="00AD0BB7">
              <w:t>47</w:t>
            </w:r>
          </w:p>
        </w:tc>
      </w:tr>
      <w:tr w:rsidR="00E66558" w14:paraId="2A7D54C3"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4BEE3" w14:textId="64B8E0DB" w:rsidR="001C54D9" w:rsidRPr="007830B6" w:rsidRDefault="00AD0BB7" w:rsidP="00AD0BB7">
            <w:pPr>
              <w:pStyle w:val="TableRow"/>
              <w:ind w:left="0"/>
              <w:rPr>
                <w:color w:val="FF0000"/>
              </w:rPr>
            </w:pPr>
            <w:r>
              <w:rPr>
                <w:b/>
                <w:bCs/>
              </w:rPr>
              <w:t xml:space="preserve"> </w:t>
            </w:r>
            <w:r w:rsidR="007830B6" w:rsidRPr="007830B6">
              <w:t>2022/23</w:t>
            </w:r>
          </w:p>
          <w:p w14:paraId="4E67DCE5" w14:textId="77777777" w:rsidR="001C54D9" w:rsidRDefault="001C54D9">
            <w:pPr>
              <w:pStyle w:val="TableRow"/>
            </w:pPr>
            <w:r w:rsidRPr="00AD63B1">
              <w:rPr>
                <w:highlight w:val="red"/>
              </w:rPr>
              <w:t>2023/2024</w:t>
            </w:r>
          </w:p>
          <w:p w14:paraId="2A7D54C2" w14:textId="101629D0" w:rsidR="00AD0BB7" w:rsidRDefault="00AD0BB7">
            <w:pPr>
              <w:pStyle w:val="TableRow"/>
            </w:pPr>
            <w:r>
              <w:t>2024/2025</w:t>
            </w:r>
          </w:p>
        </w:tc>
      </w:tr>
      <w:tr w:rsidR="00E66558" w14:paraId="2A7D54C6"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65195EA" w:rsidR="00E66558" w:rsidRDefault="4910E789" w:rsidP="47FEB853">
            <w:pPr>
              <w:pStyle w:val="TableRow"/>
              <w:spacing w:line="259" w:lineRule="auto"/>
            </w:pPr>
            <w:r>
              <w:t>December 202</w:t>
            </w:r>
            <w:r w:rsidR="003051C2">
              <w:t>3</w:t>
            </w:r>
            <w:r w:rsidR="007830B6">
              <w:t xml:space="preserve"> </w:t>
            </w:r>
          </w:p>
        </w:tc>
      </w:tr>
      <w:tr w:rsidR="00E66558" w14:paraId="2A7D54C9"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A419388" w:rsidR="00E66558" w:rsidRDefault="3919279D">
            <w:pPr>
              <w:pStyle w:val="TableRow"/>
            </w:pPr>
            <w:r>
              <w:t>December</w:t>
            </w:r>
            <w:r w:rsidR="001C54D9">
              <w:t xml:space="preserve"> 202</w:t>
            </w:r>
            <w:r w:rsidR="003051C2">
              <w:t>4</w:t>
            </w:r>
          </w:p>
        </w:tc>
      </w:tr>
      <w:tr w:rsidR="00E66558" w14:paraId="2A7D54CC"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DD8EC32" w:rsidR="00E66558" w:rsidRDefault="001B24A0">
            <w:pPr>
              <w:pStyle w:val="TableRow"/>
            </w:pPr>
            <w:r>
              <w:t>Mrs Emma Brocklesby</w:t>
            </w:r>
          </w:p>
        </w:tc>
      </w:tr>
      <w:tr w:rsidR="00E66558" w14:paraId="2A7D54CF"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C00CC2B" w:rsidR="00E66558" w:rsidRDefault="001B24A0">
            <w:pPr>
              <w:pStyle w:val="TableRow"/>
            </w:pPr>
            <w:r>
              <w:t>M</w:t>
            </w:r>
            <w:r w:rsidR="00AD0BB7">
              <w:t xml:space="preserve">rs Sarah </w:t>
            </w:r>
            <w:r w:rsidR="003051C2">
              <w:t>L</w:t>
            </w:r>
            <w:r w:rsidR="00AD0BB7">
              <w:t>askey</w:t>
            </w:r>
          </w:p>
        </w:tc>
      </w:tr>
      <w:tr w:rsidR="00E66558" w14:paraId="2A7D54D2" w14:textId="77777777" w:rsidTr="47FEB85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37B830F" w:rsidR="00E66558" w:rsidRDefault="001B24A0">
            <w:pPr>
              <w:pStyle w:val="TableRow"/>
            </w:pPr>
            <w:r>
              <w:t>Mr Michael Jones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7FEB85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47FEB85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31857BA" w:rsidR="00E66558" w:rsidRPr="00DA7FED" w:rsidRDefault="00B07E1F">
            <w:pPr>
              <w:pStyle w:val="TableRow"/>
            </w:pPr>
            <w:r>
              <w:t>£62565</w:t>
            </w:r>
          </w:p>
        </w:tc>
      </w:tr>
      <w:tr w:rsidR="00E66558" w14:paraId="2A7D54DC" w14:textId="77777777" w:rsidTr="47FEB85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7420CE7" w:rsidR="00E66558" w:rsidRPr="00DA7FED" w:rsidRDefault="003051C2">
            <w:pPr>
              <w:pStyle w:val="TableRow"/>
            </w:pPr>
            <w:r>
              <w:t>£4500</w:t>
            </w:r>
          </w:p>
        </w:tc>
      </w:tr>
      <w:tr w:rsidR="00E66558" w14:paraId="2A7D54DF" w14:textId="77777777" w:rsidTr="47FEB85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0D0B02" w:rsidR="00E66558" w:rsidRDefault="009D71E8">
            <w:pPr>
              <w:pStyle w:val="TableRow"/>
            </w:pPr>
            <w:r>
              <w:t xml:space="preserve">Pupil premium funding carried forward from previous years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4C03226" w:rsidR="00E66558" w:rsidRPr="00DA7FED" w:rsidRDefault="009D71E8">
            <w:pPr>
              <w:pStyle w:val="TableRow"/>
            </w:pPr>
            <w:r w:rsidRPr="00DA7FED">
              <w:t>£</w:t>
            </w:r>
            <w:r w:rsidR="001C54D9" w:rsidRPr="00DA7FED">
              <w:t>0</w:t>
            </w:r>
          </w:p>
        </w:tc>
      </w:tr>
      <w:tr w:rsidR="00E66558" w14:paraId="2A7D54E3" w14:textId="77777777" w:rsidTr="47FEB853">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69B0295" w:rsidR="00E66558" w:rsidRPr="00DA7FED" w:rsidRDefault="00B07E1F">
            <w:pPr>
              <w:pStyle w:val="TableRow"/>
            </w:pPr>
            <w:r>
              <w:t>£67,065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7FEB8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12C85" w14:textId="6C311826" w:rsidR="00D84BA0" w:rsidRDefault="00D84BA0" w:rsidP="00D84BA0">
            <w:pPr>
              <w:rPr>
                <w:rFonts w:cs="Arial"/>
              </w:rPr>
            </w:pPr>
            <w:r w:rsidRPr="001F0855">
              <w:rPr>
                <w:rFonts w:cs="Arial"/>
              </w:rPr>
              <w:t xml:space="preserve">When making decisions about using Pupil Premium funding it is important to consider the context of the school and the subsequent challenges faced. </w:t>
            </w:r>
            <w:r>
              <w:rPr>
                <w:rFonts w:cs="Arial"/>
              </w:rPr>
              <w:t xml:space="preserve">Research conducted by EEF should then be used to support decisions around the usefulness of different strategies and </w:t>
            </w:r>
            <w:r w:rsidR="00C30F6A">
              <w:rPr>
                <w:rFonts w:cs="Arial"/>
              </w:rPr>
              <w:t>their</w:t>
            </w:r>
            <w:r>
              <w:rPr>
                <w:rFonts w:cs="Arial"/>
              </w:rPr>
              <w:t xml:space="preserve"> value for money.</w:t>
            </w:r>
          </w:p>
          <w:p w14:paraId="480BD918" w14:textId="2AD2280F" w:rsidR="00D84BA0" w:rsidRDefault="00D84BA0" w:rsidP="00D84BA0">
            <w:pPr>
              <w:rPr>
                <w:rFonts w:cs="Arial"/>
              </w:rPr>
            </w:pPr>
            <w:r w:rsidRPr="001F0855">
              <w:rPr>
                <w:rFonts w:cs="Arial"/>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00CCB627" w14:textId="40374AF6" w:rsidR="00D84BA0" w:rsidRDefault="00D84BA0" w:rsidP="00D84BA0">
            <w:pPr>
              <w:rPr>
                <w:rFonts w:cs="Arial"/>
              </w:rPr>
            </w:pPr>
            <w:r>
              <w:rPr>
                <w:rFonts w:cs="Arial"/>
              </w:rPr>
              <w:t>Our ultimate objectives are</w:t>
            </w:r>
            <w:r w:rsidR="00C30F6A">
              <w:rPr>
                <w:rFonts w:cs="Arial"/>
              </w:rPr>
              <w:t>:</w:t>
            </w:r>
          </w:p>
          <w:p w14:paraId="24439FF4" w14:textId="6C190E5B" w:rsidR="00C30F6A" w:rsidRPr="00C30F6A" w:rsidRDefault="00C30F6A" w:rsidP="00CF2F68">
            <w:pPr>
              <w:pStyle w:val="ListParagraph"/>
              <w:numPr>
                <w:ilvl w:val="0"/>
                <w:numId w:val="22"/>
              </w:numPr>
              <w:spacing w:line="240" w:lineRule="auto"/>
              <w:rPr>
                <w:rFonts w:cs="Arial"/>
              </w:rPr>
            </w:pPr>
            <w:r w:rsidRPr="00C30F6A">
              <w:rPr>
                <w:rFonts w:cs="Arial"/>
              </w:rPr>
              <w:t>To narrow the attainment gap b</w:t>
            </w:r>
            <w:r>
              <w:rPr>
                <w:rFonts w:cs="Arial"/>
              </w:rPr>
              <w:t>e</w:t>
            </w:r>
            <w:r w:rsidRPr="00C30F6A">
              <w:rPr>
                <w:rFonts w:cs="Arial"/>
              </w:rPr>
              <w:t>tween disadvantaged and non-disadvantaged pupils.</w:t>
            </w:r>
          </w:p>
          <w:p w14:paraId="75ECF0C9" w14:textId="327867D6" w:rsidR="00C30F6A" w:rsidRDefault="00C30F6A" w:rsidP="00CF2F68">
            <w:pPr>
              <w:pStyle w:val="ListParagraph"/>
              <w:numPr>
                <w:ilvl w:val="0"/>
                <w:numId w:val="22"/>
              </w:numPr>
              <w:spacing w:line="240" w:lineRule="auto"/>
              <w:rPr>
                <w:rFonts w:cs="Arial"/>
              </w:rPr>
            </w:pPr>
            <w:r w:rsidRPr="00C30F6A">
              <w:rPr>
                <w:rFonts w:cs="Arial"/>
              </w:rPr>
              <w:t>For all disadvantaged pupils in school to make or exceed nationally expected progress rates.</w:t>
            </w:r>
          </w:p>
          <w:p w14:paraId="60AE2078" w14:textId="67B2F0D2" w:rsidR="00C30F6A" w:rsidRPr="00102916" w:rsidRDefault="00C30F6A" w:rsidP="00CF2F68">
            <w:pPr>
              <w:pStyle w:val="ListParagraph"/>
              <w:numPr>
                <w:ilvl w:val="0"/>
                <w:numId w:val="22"/>
              </w:numPr>
              <w:spacing w:line="240" w:lineRule="auto"/>
              <w:rPr>
                <w:rFonts w:cs="Arial"/>
              </w:rPr>
            </w:pPr>
            <w:r>
              <w:rPr>
                <w:rFonts w:cs="Arial"/>
              </w:rPr>
              <w:t>To support our children’s health and wellbeing to enable them to access learning at an appropriate level</w:t>
            </w:r>
            <w:r w:rsidR="00BE27E0">
              <w:rPr>
                <w:rFonts w:cs="Arial"/>
              </w:rPr>
              <w:t>.</w:t>
            </w:r>
          </w:p>
          <w:p w14:paraId="0830C5BF" w14:textId="1031ACF3" w:rsidR="00C30F6A" w:rsidRPr="00C30F6A" w:rsidRDefault="00C30F6A" w:rsidP="00C30F6A">
            <w:pPr>
              <w:rPr>
                <w:rFonts w:cs="Arial"/>
              </w:rPr>
            </w:pPr>
            <w:r w:rsidRPr="00C30F6A">
              <w:rPr>
                <w:rFonts w:cs="Arial"/>
              </w:rPr>
              <w:t>We aim to do this through</w:t>
            </w:r>
          </w:p>
          <w:p w14:paraId="09945247" w14:textId="1848A3E9" w:rsidR="00D84BA0" w:rsidRPr="001F0855" w:rsidRDefault="00C30F6A" w:rsidP="00102916">
            <w:pPr>
              <w:numPr>
                <w:ilvl w:val="0"/>
                <w:numId w:val="23"/>
              </w:numPr>
              <w:suppressAutoHyphens w:val="0"/>
              <w:autoSpaceDN/>
              <w:spacing w:before="100" w:beforeAutospacing="1" w:after="100" w:afterAutospacing="1" w:line="240" w:lineRule="auto"/>
              <w:ind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teaching and learning opportunities meet the needs of all the pupils</w:t>
            </w:r>
          </w:p>
          <w:p w14:paraId="1A251821" w14:textId="53150AB2" w:rsidR="00D84BA0" w:rsidRPr="001F0855" w:rsidRDefault="00C30F6A" w:rsidP="00102916">
            <w:pPr>
              <w:numPr>
                <w:ilvl w:val="0"/>
                <w:numId w:val="23"/>
              </w:numPr>
              <w:suppressAutoHyphens w:val="0"/>
              <w:autoSpaceDN/>
              <w:spacing w:before="100" w:beforeAutospacing="1" w:after="100" w:afterAutospacing="1" w:line="240" w:lineRule="auto"/>
              <w:ind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appropriate provision is made for pupils who belong to vulnerable groups, this includes ensuring that the needs of socially disadvantaged pupils are adequately assessed and addressed</w:t>
            </w:r>
          </w:p>
          <w:p w14:paraId="1C1B7585" w14:textId="1E3DAAA2" w:rsidR="00D84BA0" w:rsidRPr="001F0855" w:rsidRDefault="00BE27E0" w:rsidP="00102916">
            <w:pPr>
              <w:numPr>
                <w:ilvl w:val="0"/>
                <w:numId w:val="23"/>
              </w:numPr>
              <w:suppressAutoHyphens w:val="0"/>
              <w:autoSpaceDN/>
              <w:spacing w:before="100" w:beforeAutospacing="1" w:after="100" w:afterAutospacing="1" w:line="240" w:lineRule="auto"/>
              <w:ind w:right="240"/>
              <w:rPr>
                <w:rFonts w:cs="Arial"/>
              </w:rPr>
            </w:pPr>
            <w:r>
              <w:rPr>
                <w:rFonts w:cs="Arial"/>
              </w:rPr>
              <w:t>When m</w:t>
            </w:r>
            <w:r w:rsidR="00D84BA0" w:rsidRPr="001F0855">
              <w:rPr>
                <w:rFonts w:cs="Arial"/>
              </w:rPr>
              <w:t>aking provision for socially disadvantaged pupils, we recognise that not all pupils who receive free school meals will be socially disadvantaged</w:t>
            </w:r>
          </w:p>
          <w:p w14:paraId="64782663" w14:textId="77777777" w:rsidR="00D84BA0" w:rsidRPr="001F0855" w:rsidRDefault="00D84BA0" w:rsidP="00102916">
            <w:pPr>
              <w:numPr>
                <w:ilvl w:val="0"/>
                <w:numId w:val="23"/>
              </w:numPr>
              <w:suppressAutoHyphens w:val="0"/>
              <w:autoSpaceDN/>
              <w:spacing w:before="100" w:beforeAutospacing="1" w:after="100" w:afterAutospacing="1" w:line="240" w:lineRule="auto"/>
              <w:ind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0659135" w14:textId="7D231498" w:rsidR="00D84BA0" w:rsidRDefault="00D84BA0" w:rsidP="00102916">
            <w:pPr>
              <w:numPr>
                <w:ilvl w:val="0"/>
                <w:numId w:val="23"/>
              </w:numPr>
              <w:suppressAutoHyphens w:val="0"/>
              <w:autoSpaceDN/>
              <w:spacing w:before="100" w:beforeAutospacing="1" w:after="100" w:afterAutospacing="1" w:line="240" w:lineRule="auto"/>
              <w:ind w:right="240"/>
              <w:rPr>
                <w:rFonts w:cs="Arial"/>
              </w:rPr>
            </w:pPr>
            <w:r w:rsidRPr="001F0855">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45D9F7F1" w14:textId="79B1AD11" w:rsidR="00BE27E0" w:rsidRDefault="00BE27E0" w:rsidP="00BE27E0">
            <w:pPr>
              <w:suppressAutoHyphens w:val="0"/>
              <w:autoSpaceDN/>
              <w:spacing w:before="100" w:beforeAutospacing="1" w:after="100" w:afterAutospacing="1" w:line="240" w:lineRule="auto"/>
              <w:ind w:right="240"/>
              <w:rPr>
                <w:rFonts w:cs="Arial"/>
              </w:rPr>
            </w:pPr>
            <w:r>
              <w:rPr>
                <w:rFonts w:cs="Arial"/>
              </w:rPr>
              <w:t>Achieving these objectives:</w:t>
            </w:r>
          </w:p>
          <w:p w14:paraId="0C2A5BBF" w14:textId="77777777" w:rsidR="00BE27E0" w:rsidRDefault="00BE27E0" w:rsidP="00BE27E0">
            <w:pPr>
              <w:spacing w:before="100" w:beforeAutospacing="1" w:after="100" w:afterAutospacing="1"/>
              <w:rPr>
                <w:rFonts w:cs="Arial"/>
              </w:rPr>
            </w:pPr>
            <w:r w:rsidRPr="008A6657">
              <w:rPr>
                <w:rFonts w:cs="Arial"/>
              </w:rPr>
              <w:t>The range of provision the Governors cons</w:t>
            </w:r>
            <w:r>
              <w:rPr>
                <w:rFonts w:cs="Arial"/>
              </w:rPr>
              <w:t>ider making for this group</w:t>
            </w:r>
            <w:r w:rsidRPr="008A6657">
              <w:rPr>
                <w:rFonts w:cs="Arial"/>
              </w:rPr>
              <w:t xml:space="preserve"> include and would not be inclusive of:</w:t>
            </w:r>
          </w:p>
          <w:p w14:paraId="4485DF9D" w14:textId="0F7FA9E6" w:rsidR="00F164DA" w:rsidRDefault="00F164DA" w:rsidP="00BE27E0">
            <w:pPr>
              <w:numPr>
                <w:ilvl w:val="0"/>
                <w:numId w:val="18"/>
              </w:numPr>
              <w:suppressAutoHyphens w:val="0"/>
              <w:autoSpaceDN/>
              <w:spacing w:after="0" w:line="240" w:lineRule="auto"/>
              <w:ind w:right="240"/>
              <w:rPr>
                <w:rFonts w:cs="Arial"/>
              </w:rPr>
            </w:pPr>
            <w:r>
              <w:rPr>
                <w:rFonts w:cs="Arial"/>
              </w:rPr>
              <w:t>Ensuring all teaching is good or better</w:t>
            </w:r>
            <w:r w:rsidR="007106D1">
              <w:rPr>
                <w:rFonts w:cs="Arial"/>
              </w:rPr>
              <w:t xml:space="preserve"> thus ensuring that the quality of teaching experienced by all children is improved.</w:t>
            </w:r>
          </w:p>
          <w:p w14:paraId="2FA5A610" w14:textId="3E9EE7C7" w:rsidR="00D95F63" w:rsidRDefault="00D95F63" w:rsidP="00D95F63">
            <w:pPr>
              <w:numPr>
                <w:ilvl w:val="0"/>
                <w:numId w:val="18"/>
              </w:numPr>
              <w:suppressAutoHyphens w:val="0"/>
              <w:autoSpaceDN/>
              <w:spacing w:after="0" w:line="240" w:lineRule="auto"/>
              <w:ind w:right="240"/>
              <w:rPr>
                <w:rFonts w:cs="Arial"/>
              </w:rPr>
            </w:pPr>
            <w:r w:rsidRPr="00AD0F93">
              <w:rPr>
                <w:rFonts w:cs="Arial"/>
              </w:rPr>
              <w:lastRenderedPageBreak/>
              <w:t xml:space="preserve">All our work through the pupil premium will be aimed at accelerating progress, moving children to at least age-related expectations. </w:t>
            </w:r>
          </w:p>
          <w:p w14:paraId="52D3968F" w14:textId="3C38454E" w:rsidR="00D95F63" w:rsidRDefault="00D95F63" w:rsidP="00D95F63">
            <w:pPr>
              <w:numPr>
                <w:ilvl w:val="0"/>
                <w:numId w:val="18"/>
              </w:numPr>
              <w:suppressAutoHyphens w:val="0"/>
              <w:autoSpaceDN/>
              <w:spacing w:after="0" w:line="240" w:lineRule="auto"/>
              <w:ind w:right="240"/>
              <w:rPr>
                <w:rFonts w:cs="Arial"/>
              </w:rPr>
            </w:pPr>
            <w:r>
              <w:rPr>
                <w:rFonts w:cs="Arial"/>
              </w:rPr>
              <w:t xml:space="preserve">Support payment for </w:t>
            </w:r>
            <w:r w:rsidRPr="00AD0F93">
              <w:rPr>
                <w:rFonts w:cs="Arial"/>
              </w:rPr>
              <w:t xml:space="preserve">activities, educational visits and residentials. Ensuring </w:t>
            </w:r>
            <w:r>
              <w:rPr>
                <w:rFonts w:cs="Arial"/>
              </w:rPr>
              <w:t>c</w:t>
            </w:r>
            <w:r w:rsidRPr="00AD0F93">
              <w:rPr>
                <w:rFonts w:cs="Arial"/>
              </w:rPr>
              <w:t>hildren have first-hand experiences to use in their learning in the classroom.</w:t>
            </w:r>
          </w:p>
          <w:p w14:paraId="5017858A" w14:textId="0344C7C6" w:rsidR="00D95F63" w:rsidRDefault="00D95F63" w:rsidP="00D95F63">
            <w:pPr>
              <w:numPr>
                <w:ilvl w:val="0"/>
                <w:numId w:val="18"/>
              </w:numPr>
              <w:suppressAutoHyphens w:val="0"/>
              <w:autoSpaceDN/>
              <w:spacing w:after="0" w:line="240" w:lineRule="auto"/>
              <w:ind w:right="240"/>
              <w:rPr>
                <w:rFonts w:cs="Arial"/>
              </w:rPr>
            </w:pPr>
            <w:r>
              <w:rPr>
                <w:rFonts w:cs="Arial"/>
              </w:rPr>
              <w:t>To provide a Well-being &amp; Nurture HLTA to focus on well-being of disadvantaged pupils and families</w:t>
            </w:r>
            <w:r w:rsidR="00833C19">
              <w:rPr>
                <w:rFonts w:cs="Arial"/>
              </w:rPr>
              <w:t>.</w:t>
            </w:r>
          </w:p>
          <w:p w14:paraId="00B0B08E" w14:textId="6FA5E509" w:rsidR="00833C19" w:rsidRPr="00833C19" w:rsidRDefault="00833C19" w:rsidP="00D95F63">
            <w:pPr>
              <w:numPr>
                <w:ilvl w:val="0"/>
                <w:numId w:val="18"/>
              </w:numPr>
              <w:suppressAutoHyphens w:val="0"/>
              <w:autoSpaceDN/>
              <w:spacing w:after="0" w:line="240" w:lineRule="auto"/>
              <w:ind w:right="240"/>
              <w:rPr>
                <w:rFonts w:cs="Arial"/>
                <w:color w:val="000000" w:themeColor="text1"/>
              </w:rPr>
            </w:pPr>
            <w:r>
              <w:rPr>
                <w:rFonts w:cs="Arial"/>
              </w:rPr>
              <w:t xml:space="preserve">To provide a Learning Mentor to focus on narrowing the gaps between pupil </w:t>
            </w:r>
            <w:r w:rsidRPr="00833C19">
              <w:rPr>
                <w:rFonts w:cs="Arial"/>
                <w:color w:val="000000" w:themeColor="text1"/>
              </w:rPr>
              <w:t>premium and non-pupil premium pupils.</w:t>
            </w:r>
          </w:p>
          <w:p w14:paraId="712E8B5E" w14:textId="63608F4A" w:rsidR="00D95F63" w:rsidRPr="00833C19" w:rsidRDefault="00833C19" w:rsidP="00D95F63">
            <w:pPr>
              <w:numPr>
                <w:ilvl w:val="0"/>
                <w:numId w:val="18"/>
              </w:numPr>
              <w:suppressAutoHyphens w:val="0"/>
              <w:autoSpaceDN/>
              <w:spacing w:after="0" w:line="240" w:lineRule="auto"/>
              <w:ind w:right="240"/>
              <w:rPr>
                <w:rFonts w:cs="Arial"/>
                <w:color w:val="000000" w:themeColor="text1"/>
              </w:rPr>
            </w:pPr>
            <w:r w:rsidRPr="00833C19">
              <w:rPr>
                <w:rFonts w:cs="Arial"/>
                <w:color w:val="000000" w:themeColor="text1"/>
              </w:rPr>
              <w:t>1:1 support</w:t>
            </w:r>
          </w:p>
          <w:p w14:paraId="0CCEC7ED" w14:textId="4E2538B4" w:rsidR="00BE27E0" w:rsidRPr="00833C19" w:rsidRDefault="00BE27E0" w:rsidP="00D95F63">
            <w:pPr>
              <w:numPr>
                <w:ilvl w:val="0"/>
                <w:numId w:val="18"/>
              </w:numPr>
              <w:suppressAutoHyphens w:val="0"/>
              <w:autoSpaceDN/>
              <w:spacing w:after="0" w:line="240" w:lineRule="auto"/>
              <w:ind w:right="240"/>
              <w:rPr>
                <w:rFonts w:cs="Arial"/>
                <w:color w:val="000000" w:themeColor="text1"/>
              </w:rPr>
            </w:pPr>
            <w:r w:rsidRPr="00833C19">
              <w:rPr>
                <w:rFonts w:cs="Arial"/>
                <w:color w:val="000000" w:themeColor="text1"/>
              </w:rPr>
              <w:t>Additional learning support.</w:t>
            </w:r>
          </w:p>
          <w:p w14:paraId="41E8EF40" w14:textId="77777777" w:rsidR="00D95F63" w:rsidRPr="00833C19" w:rsidRDefault="00BE27E0" w:rsidP="00207F48">
            <w:pPr>
              <w:numPr>
                <w:ilvl w:val="0"/>
                <w:numId w:val="18"/>
              </w:numPr>
              <w:suppressAutoHyphens w:val="0"/>
              <w:autoSpaceDN/>
              <w:spacing w:after="0" w:line="240" w:lineRule="auto"/>
              <w:ind w:right="240"/>
              <w:rPr>
                <w:rFonts w:cs="Arial"/>
                <w:color w:val="000000" w:themeColor="text1"/>
              </w:rPr>
            </w:pPr>
            <w:r w:rsidRPr="00833C19">
              <w:rPr>
                <w:rFonts w:cs="Arial"/>
                <w:color w:val="000000" w:themeColor="text1"/>
              </w:rPr>
              <w:t xml:space="preserve">Behaviour support </w:t>
            </w:r>
          </w:p>
          <w:p w14:paraId="2A7D54E9" w14:textId="00985ACA" w:rsidR="00E66558" w:rsidRPr="00D95F63" w:rsidRDefault="00E66558" w:rsidP="00D95F63">
            <w:pPr>
              <w:suppressAutoHyphens w:val="0"/>
              <w:autoSpaceDN/>
              <w:spacing w:after="0" w:line="240" w:lineRule="auto"/>
              <w:ind w:left="720" w:right="240"/>
              <w:rPr>
                <w:rFonts w:cs="Arial"/>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47FEB85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7FEB85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469FB8CF" w:rsidR="00AB0C42" w:rsidRPr="00CA0A9C" w:rsidRDefault="00102916" w:rsidP="00643D7E">
            <w:pPr>
              <w:pStyle w:val="TableRowCentered"/>
              <w:jc w:val="left"/>
            </w:pPr>
            <w:r w:rsidRPr="00CA0A9C">
              <w:rPr>
                <w:sz w:val="22"/>
                <w:szCs w:val="22"/>
              </w:rPr>
              <w:t>Narrowing the attainment gap across Reading, Writing</w:t>
            </w:r>
            <w:r>
              <w:rPr>
                <w:sz w:val="22"/>
                <w:szCs w:val="22"/>
              </w:rPr>
              <w:t xml:space="preserve"> and </w:t>
            </w:r>
            <w:r w:rsidRPr="00CA0A9C">
              <w:rPr>
                <w:sz w:val="22"/>
                <w:szCs w:val="22"/>
              </w:rPr>
              <w:t>Maths</w:t>
            </w:r>
            <w:r w:rsidR="00643D7E">
              <w:t>.</w:t>
            </w:r>
          </w:p>
        </w:tc>
      </w:tr>
      <w:tr w:rsidR="00E66558" w14:paraId="2A7D54F5" w14:textId="77777777" w:rsidTr="47FEB85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38C41B4B" w:rsidR="00E66558" w:rsidRPr="00CA0A9C" w:rsidRDefault="00102916">
            <w:pPr>
              <w:pStyle w:val="TableRowCentered"/>
              <w:jc w:val="left"/>
              <w:rPr>
                <w:sz w:val="22"/>
                <w:szCs w:val="22"/>
              </w:rPr>
            </w:pPr>
            <w:r w:rsidRPr="00CA0A9C">
              <w:rPr>
                <w:sz w:val="22"/>
                <w:szCs w:val="22"/>
              </w:rPr>
              <w:t>Attainment gap in children achieving greater depth particularly in writing</w:t>
            </w:r>
          </w:p>
        </w:tc>
      </w:tr>
      <w:tr w:rsidR="00E66558" w14:paraId="2A7D54F8" w14:textId="77777777" w:rsidTr="47FEB85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26AAEB4" w:rsidR="00E66558" w:rsidRPr="00CA0A9C" w:rsidRDefault="00102916">
            <w:pPr>
              <w:pStyle w:val="TableRowCentered"/>
              <w:jc w:val="left"/>
              <w:rPr>
                <w:sz w:val="22"/>
                <w:szCs w:val="22"/>
              </w:rPr>
            </w:pPr>
            <w:r w:rsidRPr="00CA0A9C">
              <w:rPr>
                <w:sz w:val="22"/>
                <w:szCs w:val="22"/>
              </w:rPr>
              <w:t>Poor parental engagement</w:t>
            </w:r>
          </w:p>
        </w:tc>
      </w:tr>
      <w:tr w:rsidR="00E66558" w14:paraId="2A7D54FB" w14:textId="77777777" w:rsidTr="47FEB85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12909975" w:rsidR="00E66558" w:rsidRPr="00CA0A9C" w:rsidRDefault="00C27735">
            <w:pPr>
              <w:pStyle w:val="TableRowCentered"/>
              <w:jc w:val="left"/>
              <w:rPr>
                <w:sz w:val="22"/>
              </w:rPr>
            </w:pPr>
            <w:r w:rsidRPr="00CA0A9C">
              <w:rPr>
                <w:rFonts w:cs="Arial"/>
                <w:sz w:val="22"/>
                <w:szCs w:val="22"/>
              </w:rPr>
              <w:t>Attendance and Punctuality issues</w:t>
            </w:r>
            <w:r w:rsidR="00AB0C42">
              <w:rPr>
                <w:rFonts w:cs="Arial"/>
                <w:sz w:val="22"/>
                <w:szCs w:val="22"/>
              </w:rPr>
              <w:t xml:space="preserve"> of PP pupils</w:t>
            </w:r>
          </w:p>
        </w:tc>
      </w:tr>
      <w:tr w:rsidR="00B33650" w14:paraId="0A9AE51E" w14:textId="77777777" w:rsidTr="47FEB85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543F5" w14:textId="60188DF5" w:rsidR="00B33650" w:rsidRDefault="00B33650">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6CBCFB" w14:textId="66C9A053" w:rsidR="00B33650" w:rsidRPr="00CA0A9C" w:rsidRDefault="00B33650">
            <w:pPr>
              <w:pStyle w:val="TableRowCentered"/>
              <w:jc w:val="left"/>
              <w:rPr>
                <w:rFonts w:cs="Arial"/>
                <w:sz w:val="22"/>
                <w:szCs w:val="22"/>
              </w:rPr>
            </w:pPr>
            <w:r>
              <w:rPr>
                <w:rFonts w:cs="Arial"/>
                <w:sz w:val="22"/>
                <w:szCs w:val="22"/>
              </w:rPr>
              <w:t>B</w:t>
            </w:r>
            <w:r w:rsidRPr="00CA0A9C">
              <w:rPr>
                <w:rFonts w:cs="Arial"/>
                <w:sz w:val="22"/>
                <w:szCs w:val="22"/>
              </w:rPr>
              <w:t>ehaviour difficulties</w:t>
            </w:r>
            <w:r>
              <w:rPr>
                <w:rFonts w:cs="Arial"/>
                <w:sz w:val="22"/>
                <w:szCs w:val="22"/>
              </w:rPr>
              <w:t xml:space="preserve"> within a core group of children</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776" w:type="dxa"/>
        <w:tblCellMar>
          <w:left w:w="10" w:type="dxa"/>
          <w:right w:w="10" w:type="dxa"/>
        </w:tblCellMar>
        <w:tblLook w:val="04A0" w:firstRow="1" w:lastRow="0" w:firstColumn="1" w:lastColumn="0" w:noHBand="0" w:noVBand="1"/>
      </w:tblPr>
      <w:tblGrid>
        <w:gridCol w:w="4673"/>
        <w:gridCol w:w="5103"/>
      </w:tblGrid>
      <w:tr w:rsidR="00E66558" w14:paraId="2A7D5503" w14:textId="77777777" w:rsidTr="000C210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C210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4CF3890" w:rsidR="00E66558" w:rsidRDefault="000B7ADF" w:rsidP="000B7ADF">
            <w:pPr>
              <w:pStyle w:val="TableRow"/>
            </w:pPr>
            <w:r>
              <w:t xml:space="preserve">Most Pupil Premium pupils to achieve the same, if not better attainment within </w:t>
            </w:r>
            <w:r w:rsidRPr="000C210D">
              <w:rPr>
                <w:b/>
                <w:bCs/>
              </w:rPr>
              <w:t>Reading</w:t>
            </w:r>
            <w:r>
              <w:t xml:space="preserve"> compared to non PP pupils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5847BB28" w:rsidR="00E66558" w:rsidRDefault="000C210D">
            <w:pPr>
              <w:pStyle w:val="TableRowCentered"/>
              <w:jc w:val="left"/>
              <w:rPr>
                <w:sz w:val="22"/>
                <w:szCs w:val="22"/>
              </w:rPr>
            </w:pPr>
            <w:r>
              <w:t>Progress measures on Arbor indicate same or better progress seen in PP children</w:t>
            </w:r>
            <w:r w:rsidR="00FB464A">
              <w:t xml:space="preserve"> by 202</w:t>
            </w:r>
            <w:r w:rsidR="00AD0BB7">
              <w:t>5</w:t>
            </w:r>
          </w:p>
        </w:tc>
      </w:tr>
      <w:tr w:rsidR="00E66558" w14:paraId="2A7D5509" w14:textId="77777777" w:rsidTr="000C210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1B302294" w:rsidR="00E66558" w:rsidRDefault="000B7ADF" w:rsidP="000B7ADF">
            <w:pPr>
              <w:pStyle w:val="TableRow"/>
              <w:tabs>
                <w:tab w:val="left" w:pos="1770"/>
              </w:tabs>
              <w:rPr>
                <w:sz w:val="22"/>
                <w:szCs w:val="22"/>
              </w:rPr>
            </w:pPr>
            <w:r>
              <w:t xml:space="preserve">Most Pupil Premium pupils to achieve the same, if not better attainment within </w:t>
            </w:r>
            <w:r w:rsidRPr="000C210D">
              <w:rPr>
                <w:b/>
                <w:bCs/>
              </w:rPr>
              <w:t>Writing</w:t>
            </w:r>
            <w:r>
              <w:t xml:space="preserve"> compared to non PP pupils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0A5E16EA" w:rsidR="00E66558" w:rsidRDefault="005C792A" w:rsidP="47FEB853">
            <w:pPr>
              <w:pStyle w:val="TableRowCentered"/>
              <w:jc w:val="left"/>
            </w:pPr>
            <w:r>
              <w:t xml:space="preserve">Progress measures on </w:t>
            </w:r>
            <w:r w:rsidR="000C210D">
              <w:t>Arbor</w:t>
            </w:r>
            <w:r>
              <w:t xml:space="preserve"> indicate same or better progress seen in PP children</w:t>
            </w:r>
            <w:r w:rsidR="00FB464A">
              <w:t xml:space="preserve"> by 202</w:t>
            </w:r>
            <w:r w:rsidR="00AD0BB7">
              <w:t>5</w:t>
            </w:r>
          </w:p>
        </w:tc>
      </w:tr>
      <w:tr w:rsidR="00E66558" w14:paraId="2A7D550C" w14:textId="77777777" w:rsidTr="000C210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7A9541A" w:rsidR="00E66558" w:rsidRDefault="005F5ADF">
            <w:pPr>
              <w:pStyle w:val="TableRow"/>
              <w:rPr>
                <w:sz w:val="22"/>
                <w:szCs w:val="22"/>
              </w:rPr>
            </w:pPr>
            <w:r>
              <w:t xml:space="preserve">Most Pupil Premium pupils to achieve the same, if not better attainment within </w:t>
            </w:r>
            <w:r w:rsidRPr="000C210D">
              <w:rPr>
                <w:b/>
                <w:bCs/>
              </w:rPr>
              <w:t>Maths</w:t>
            </w:r>
            <w:r>
              <w:t xml:space="preserve"> compared to non PP pupils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19AE5E31" w:rsidR="00E66558" w:rsidRDefault="00E42904">
            <w:pPr>
              <w:pStyle w:val="TableRowCentered"/>
              <w:jc w:val="left"/>
              <w:rPr>
                <w:sz w:val="22"/>
                <w:szCs w:val="22"/>
              </w:rPr>
            </w:pPr>
            <w:r>
              <w:t xml:space="preserve">Attainment measures on </w:t>
            </w:r>
            <w:r w:rsidR="000C210D">
              <w:t>Arbor</w:t>
            </w:r>
            <w:r>
              <w:t xml:space="preserve"> indicate same or better attainment seen in PP children </w:t>
            </w:r>
            <w:r w:rsidR="00FB464A">
              <w:t>by 202</w:t>
            </w:r>
            <w:r w:rsidR="00AD0BB7">
              <w:t>5</w:t>
            </w:r>
            <w:r>
              <w:br/>
            </w:r>
          </w:p>
        </w:tc>
      </w:tr>
      <w:tr w:rsidR="00C27735" w14:paraId="1DB184BB" w14:textId="77777777" w:rsidTr="000C210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B3984" w14:textId="05BF5604" w:rsidR="00C27735" w:rsidRDefault="000C210D">
            <w:pPr>
              <w:pStyle w:val="TableRow"/>
              <w:rPr>
                <w:rFonts w:cs="Calibri"/>
                <w:sz w:val="22"/>
                <w:szCs w:val="22"/>
              </w:rPr>
            </w:pPr>
            <w:r>
              <w:rPr>
                <w:rFonts w:cs="Calibri"/>
                <w:sz w:val="22"/>
                <w:szCs w:val="22"/>
              </w:rPr>
              <w:lastRenderedPageBreak/>
              <w:t xml:space="preserve">Improved number of pupils to achieve </w:t>
            </w:r>
            <w:r w:rsidR="00C27735" w:rsidRPr="00843871">
              <w:rPr>
                <w:rFonts w:cs="Calibri"/>
                <w:b/>
                <w:bCs/>
                <w:sz w:val="22"/>
                <w:szCs w:val="22"/>
              </w:rPr>
              <w:t xml:space="preserve">Greater Depth in </w:t>
            </w:r>
            <w:r w:rsidR="00AD0BB7">
              <w:rPr>
                <w:rFonts w:cs="Calibri"/>
                <w:b/>
                <w:bCs/>
                <w:sz w:val="22"/>
                <w:szCs w:val="22"/>
              </w:rPr>
              <w:t>Maths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A5166" w14:textId="74128E28" w:rsidR="00C27735" w:rsidRDefault="000C210D">
            <w:pPr>
              <w:pStyle w:val="TableRowCentered"/>
              <w:jc w:val="left"/>
            </w:pPr>
            <w:r>
              <w:t>Attainment measures on Arbor indicate an improvement in the number of pupils achieved GD for writing</w:t>
            </w:r>
            <w:r w:rsidR="00FB464A">
              <w:t xml:space="preserve"> by 202</w:t>
            </w:r>
            <w:r w:rsidR="00AD0BB7">
              <w:t>5</w:t>
            </w:r>
          </w:p>
        </w:tc>
      </w:tr>
      <w:tr w:rsidR="00E66558" w14:paraId="2A7D550F" w14:textId="77777777" w:rsidTr="000C210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4EAB3B0C" w:rsidR="00E66558" w:rsidRDefault="00002F0C">
            <w:pPr>
              <w:pStyle w:val="TableRow"/>
              <w:rPr>
                <w:sz w:val="22"/>
                <w:szCs w:val="22"/>
              </w:rPr>
            </w:pPr>
            <w:r>
              <w:t xml:space="preserve">Increase </w:t>
            </w:r>
            <w:r w:rsidR="001A3125">
              <w:t>in</w:t>
            </w:r>
            <w:r>
              <w:t xml:space="preserve"> </w:t>
            </w:r>
            <w:r w:rsidRPr="00BB077D">
              <w:rPr>
                <w:b/>
                <w:bCs/>
              </w:rPr>
              <w:t>attendance</w:t>
            </w:r>
            <w:r>
              <w:t xml:space="preserve"> - pupils who have a greater attendance at school have better opportunities to access the required learning to </w:t>
            </w:r>
            <w:r w:rsidR="00595783">
              <w:t>achieve in school.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904528" w14:textId="5DC7948A" w:rsidR="007D002D" w:rsidRDefault="007D002D">
            <w:pPr>
              <w:pStyle w:val="TableRowCentered"/>
              <w:jc w:val="left"/>
            </w:pPr>
            <w:r>
              <w:t>Pupils</w:t>
            </w:r>
            <w:r w:rsidR="0033211C">
              <w:t>’</w:t>
            </w:r>
            <w:r>
              <w:t xml:space="preserve"> attendance increases across the year and they become more punctual – monitored using Arbor.</w:t>
            </w:r>
          </w:p>
          <w:p w14:paraId="2A7D550E" w14:textId="0ADFD9FA" w:rsidR="003F0EB7" w:rsidRDefault="1767F832" w:rsidP="007D002D">
            <w:pPr>
              <w:pStyle w:val="TableRowCentered"/>
              <w:jc w:val="left"/>
            </w:pPr>
            <w:r>
              <w:t xml:space="preserve">Ensure attendance of disadvantaged pupils </w:t>
            </w:r>
            <w:r w:rsidR="00805861">
              <w:t>has</w:t>
            </w:r>
            <w:r w:rsidR="003F0EB7">
              <w:t xml:space="preserve"> improv</w:t>
            </w:r>
            <w:r w:rsidR="00805861">
              <w:t>ed</w:t>
            </w:r>
            <w:r w:rsidR="003F0EB7">
              <w:t xml:space="preserve"> b</w:t>
            </w:r>
            <w:r w:rsidR="0EE5E539">
              <w:t>y 202</w:t>
            </w:r>
            <w:r w:rsidR="00AD0BB7">
              <w:t>5</w:t>
            </w:r>
          </w:p>
        </w:tc>
      </w:tr>
      <w:tr w:rsidR="00B33650" w14:paraId="004EC7B5" w14:textId="77777777" w:rsidTr="000C210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B682A" w14:textId="1058ACA5" w:rsidR="00B33650" w:rsidRDefault="00B33650">
            <w:pPr>
              <w:pStyle w:val="TableRow"/>
              <w:rPr>
                <w:sz w:val="22"/>
                <w:szCs w:val="22"/>
              </w:rPr>
            </w:pPr>
            <w:r>
              <w:rPr>
                <w:sz w:val="22"/>
                <w:szCs w:val="22"/>
              </w:rPr>
              <w:t>Improved attitudes to learning</w:t>
            </w:r>
            <w:r w:rsidR="00805861">
              <w:rPr>
                <w:sz w:val="22"/>
                <w:szCs w:val="22"/>
              </w:rPr>
              <w:t xml:space="preserve"> for PP pupils.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7C934" w14:textId="201F93D4" w:rsidR="00B33650" w:rsidRDefault="6AF00ED9">
            <w:pPr>
              <w:pStyle w:val="TableRowCentered"/>
              <w:jc w:val="left"/>
            </w:pPr>
            <w:r>
              <w:t xml:space="preserve">Reduction of </w:t>
            </w:r>
            <w:r w:rsidR="69B20251">
              <w:t xml:space="preserve">incidents on </w:t>
            </w:r>
            <w:r w:rsidR="774D254A">
              <w:t>Arbor</w:t>
            </w:r>
            <w:r w:rsidR="69B20251">
              <w:t xml:space="preserve"> and improved outcomes on Boxall Profiles</w:t>
            </w:r>
            <w:r w:rsidR="09C279CC">
              <w:t xml:space="preserve"> by 202</w:t>
            </w:r>
            <w:r w:rsidR="00AD0BB7">
              <w:t>5</w:t>
            </w:r>
          </w:p>
        </w:tc>
      </w:tr>
    </w:tbl>
    <w:p w14:paraId="2A7D5512" w14:textId="7742616C"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8FCEFD3" w:rsidR="00E66558" w:rsidRDefault="009D71E8">
      <w:r w:rsidRPr="00DA7FED">
        <w:t>Budgeted cost:</w:t>
      </w:r>
      <w:r w:rsidR="00AD0BB7">
        <w:t xml:space="preserve"> </w:t>
      </w:r>
      <w:r w:rsidR="009064B1">
        <w:t>£9697.84</w:t>
      </w:r>
    </w:p>
    <w:tbl>
      <w:tblPr>
        <w:tblW w:w="9610" w:type="dxa"/>
        <w:tblCellMar>
          <w:left w:w="10" w:type="dxa"/>
          <w:right w:w="10" w:type="dxa"/>
        </w:tblCellMar>
        <w:tblLook w:val="04A0" w:firstRow="1" w:lastRow="0" w:firstColumn="1" w:lastColumn="0" w:noHBand="0" w:noVBand="1"/>
      </w:tblPr>
      <w:tblGrid>
        <w:gridCol w:w="2385"/>
        <w:gridCol w:w="5515"/>
        <w:gridCol w:w="1710"/>
      </w:tblGrid>
      <w:tr w:rsidR="00E66558" w14:paraId="2A7D5519" w14:textId="77777777" w:rsidTr="47FEB853">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F06D6" w14:paraId="2A7D551D" w14:textId="77777777" w:rsidTr="47FEB853">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6AEBA" w14:textId="2F706A21" w:rsidR="00BF06D6" w:rsidRDefault="3520696A" w:rsidP="00BF06D6">
            <w:pPr>
              <w:pStyle w:val="TableRow"/>
              <w:rPr>
                <w:color w:val="000000" w:themeColor="text1"/>
              </w:rPr>
            </w:pPr>
            <w:r w:rsidRPr="47FEB853">
              <w:rPr>
                <w:color w:val="000000" w:themeColor="text1"/>
              </w:rPr>
              <w:t xml:space="preserve">Teachers to access </w:t>
            </w:r>
            <w:r w:rsidR="00AD0BB7">
              <w:rPr>
                <w:color w:val="000000" w:themeColor="text1"/>
              </w:rPr>
              <w:t xml:space="preserve">termly </w:t>
            </w:r>
            <w:r w:rsidRPr="47FEB853">
              <w:rPr>
                <w:color w:val="000000" w:themeColor="text1"/>
              </w:rPr>
              <w:t xml:space="preserve">CPD on planning and delivery of </w:t>
            </w:r>
            <w:r w:rsidR="0C2698C9" w:rsidRPr="47FEB853">
              <w:rPr>
                <w:color w:val="000000" w:themeColor="text1"/>
              </w:rPr>
              <w:t xml:space="preserve">the </w:t>
            </w:r>
            <w:r w:rsidRPr="47FEB853">
              <w:rPr>
                <w:color w:val="000000" w:themeColor="text1"/>
              </w:rPr>
              <w:t xml:space="preserve">teaching </w:t>
            </w:r>
            <w:r w:rsidR="0C2698C9" w:rsidRPr="47FEB853">
              <w:rPr>
                <w:color w:val="000000" w:themeColor="text1"/>
              </w:rPr>
              <w:t xml:space="preserve">of </w:t>
            </w:r>
            <w:r w:rsidRPr="47FEB853">
              <w:rPr>
                <w:color w:val="000000" w:themeColor="text1"/>
              </w:rPr>
              <w:t>writing.</w:t>
            </w:r>
          </w:p>
          <w:p w14:paraId="205090CA" w14:textId="14477CA5" w:rsidR="00B07E1F" w:rsidRDefault="00B07E1F" w:rsidP="00BF06D6">
            <w:pPr>
              <w:pStyle w:val="TableRow"/>
              <w:rPr>
                <w:iCs/>
                <w:color w:val="000000" w:themeColor="text1"/>
                <w:szCs w:val="28"/>
              </w:rPr>
            </w:pPr>
            <w:r>
              <w:rPr>
                <w:iCs/>
                <w:color w:val="000000" w:themeColor="text1"/>
              </w:rPr>
              <w:t>£720</w:t>
            </w:r>
          </w:p>
          <w:p w14:paraId="7825878D" w14:textId="0B94BB56" w:rsidR="00BF06D6" w:rsidRPr="00915027" w:rsidRDefault="00BF06D6" w:rsidP="00BF06D6">
            <w:pPr>
              <w:pStyle w:val="TableRow"/>
              <w:rPr>
                <w:iCs/>
                <w:color w:val="000000" w:themeColor="text1"/>
                <w:szCs w:val="28"/>
              </w:rPr>
            </w:pPr>
          </w:p>
          <w:p w14:paraId="2A7D551A" w14:textId="0D4AC3F5" w:rsidR="00B659B5" w:rsidRPr="00915027" w:rsidRDefault="00B659B5" w:rsidP="47FEB853">
            <w:pPr>
              <w:pStyle w:val="TableRow"/>
              <w:rPr>
                <w:color w:val="000000" w:themeColor="text1"/>
              </w:rPr>
            </w:pPr>
          </w:p>
        </w:tc>
        <w:tc>
          <w:tcPr>
            <w:tcW w:w="5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2E6F3E4D" w:rsidR="00BF06D6" w:rsidRPr="00FB464A" w:rsidRDefault="00BF06D6" w:rsidP="00FB464A">
            <w:pPr>
              <w:pStyle w:val="TableRow"/>
              <w:textAlignment w:val="baseline"/>
              <w:rPr>
                <w:i/>
                <w:iCs/>
                <w:color w:val="000000" w:themeColor="text1"/>
              </w:rPr>
            </w:pPr>
            <w:r w:rsidRPr="00334699">
              <w:rPr>
                <w:i/>
                <w:iCs/>
                <w:color w:val="000000" w:themeColor="text1"/>
                <w:sz w:val="22"/>
                <w:szCs w:val="22"/>
              </w:rPr>
              <w:t>EEF guide to professional development states that PD activities are unlikely to be successful without ensuring there is both high-quality content and a sharp focus on pupil outcomes. I</w:t>
            </w:r>
            <w:r w:rsidR="00334699" w:rsidRPr="00334699">
              <w:rPr>
                <w:i/>
                <w:iCs/>
                <w:color w:val="000000" w:themeColor="text1"/>
                <w:sz w:val="22"/>
                <w:szCs w:val="22"/>
              </w:rPr>
              <w:t>t</w:t>
            </w:r>
            <w:r w:rsidRPr="00334699">
              <w:rPr>
                <w:i/>
                <w:iCs/>
                <w:color w:val="000000" w:themeColor="text1"/>
                <w:sz w:val="22"/>
                <w:szCs w:val="22"/>
              </w:rPr>
              <w:t xml:space="preserve"> is recommended to provide explicit support to help teachers apply general pedagogy to specific subject domains. </w:t>
            </w:r>
            <w:r w:rsidR="00334699" w:rsidRPr="00334699">
              <w:rPr>
                <w:i/>
                <w:iCs/>
                <w:color w:val="000000" w:themeColor="text1"/>
              </w:rPr>
              <w:br/>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72C03C6" w:rsidR="00BF06D6" w:rsidRPr="00775C22" w:rsidRDefault="00102916" w:rsidP="00BF06D6">
            <w:pPr>
              <w:pStyle w:val="TableRowCentered"/>
              <w:jc w:val="left"/>
              <w:rPr>
                <w:color w:val="C0504D" w:themeColor="accent2"/>
                <w:sz w:val="22"/>
              </w:rPr>
            </w:pPr>
            <w:r>
              <w:rPr>
                <w:color w:val="C0504D" w:themeColor="accent2"/>
                <w:sz w:val="22"/>
              </w:rPr>
              <w:t>1, 2,</w:t>
            </w:r>
          </w:p>
        </w:tc>
      </w:tr>
      <w:tr w:rsidR="00BF06D6" w14:paraId="2A7D5521" w14:textId="77777777" w:rsidTr="47FEB853">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50E83" w14:textId="20B9CA9F" w:rsidR="00BF06D6" w:rsidRPr="00915027" w:rsidRDefault="00BF06D6" w:rsidP="00BF06D6">
            <w:pPr>
              <w:pStyle w:val="TableRow"/>
              <w:rPr>
                <w:iCs/>
                <w:color w:val="000000" w:themeColor="text1"/>
                <w:szCs w:val="28"/>
              </w:rPr>
            </w:pPr>
            <w:r w:rsidRPr="00915027">
              <w:rPr>
                <w:iCs/>
                <w:color w:val="000000" w:themeColor="text1"/>
                <w:szCs w:val="28"/>
              </w:rPr>
              <w:t xml:space="preserve">All relevant staff to receive CPD on </w:t>
            </w:r>
            <w:r w:rsidR="00B07E1F">
              <w:rPr>
                <w:iCs/>
                <w:color w:val="000000" w:themeColor="text1"/>
                <w:szCs w:val="28"/>
              </w:rPr>
              <w:t xml:space="preserve">providing </w:t>
            </w:r>
            <w:r w:rsidR="00163860">
              <w:rPr>
                <w:iCs/>
                <w:color w:val="000000" w:themeColor="text1"/>
                <w:szCs w:val="28"/>
              </w:rPr>
              <w:t xml:space="preserve">high quality </w:t>
            </w:r>
            <w:r w:rsidR="00B07E1F">
              <w:rPr>
                <w:iCs/>
                <w:color w:val="000000" w:themeColor="text1"/>
                <w:szCs w:val="28"/>
              </w:rPr>
              <w:t>teaching</w:t>
            </w:r>
            <w:r w:rsidRPr="00915027">
              <w:rPr>
                <w:iCs/>
                <w:color w:val="000000" w:themeColor="text1"/>
                <w:szCs w:val="28"/>
              </w:rPr>
              <w:t>.</w:t>
            </w:r>
          </w:p>
          <w:p w14:paraId="2A7D551E" w14:textId="375AF70F" w:rsidR="00DA7FED" w:rsidRPr="007444FF" w:rsidRDefault="007444FF" w:rsidP="009064B1">
            <w:pPr>
              <w:pStyle w:val="TableRow"/>
              <w:rPr>
                <w:iCs/>
                <w:color w:val="000000" w:themeColor="text1"/>
                <w:szCs w:val="28"/>
              </w:rPr>
            </w:pPr>
            <w:r>
              <w:rPr>
                <w:color w:val="000000" w:themeColor="text1"/>
              </w:rPr>
              <w:t>T</w:t>
            </w:r>
            <w:r w:rsidR="009064B1">
              <w:rPr>
                <w:color w:val="000000" w:themeColor="text1"/>
              </w:rPr>
              <w:t xml:space="preserve">raining and support provided by </w:t>
            </w:r>
            <w:r w:rsidR="00B07E1F">
              <w:rPr>
                <w:color w:val="000000" w:themeColor="text1"/>
              </w:rPr>
              <w:t xml:space="preserve">SENDCo </w:t>
            </w:r>
            <w:r w:rsidR="009064B1">
              <w:rPr>
                <w:color w:val="000000" w:themeColor="text1"/>
              </w:rPr>
              <w:t xml:space="preserve">£5,977.84 </w:t>
            </w:r>
          </w:p>
        </w:tc>
        <w:tc>
          <w:tcPr>
            <w:tcW w:w="5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453C9" w14:textId="428BD8DC" w:rsidR="00BF06D6" w:rsidRDefault="00BF06D6" w:rsidP="00BF06D6">
            <w:pPr>
              <w:pStyle w:val="TableRow"/>
              <w:textAlignment w:val="baseline"/>
              <w:rPr>
                <w:i/>
                <w:iCs/>
                <w:color w:val="000000" w:themeColor="text1"/>
                <w:sz w:val="22"/>
                <w:szCs w:val="22"/>
              </w:rPr>
            </w:pPr>
            <w:r w:rsidRPr="005B1EC2">
              <w:rPr>
                <w:i/>
                <w:iCs/>
                <w:color w:val="000000" w:themeColor="text1"/>
                <w:sz w:val="22"/>
                <w:szCs w:val="22"/>
              </w:rPr>
              <w:t>EEF guide to pupil premium – tiered approach – teaching is the top priority, including CPD.</w:t>
            </w:r>
          </w:p>
          <w:p w14:paraId="0A0B54C7" w14:textId="5630301D" w:rsidR="00B75B06" w:rsidRPr="005B1EC2" w:rsidRDefault="007444FF" w:rsidP="00BF06D6">
            <w:pPr>
              <w:pStyle w:val="TableRow"/>
              <w:textAlignment w:val="baseline"/>
              <w:rPr>
                <w:i/>
                <w:iCs/>
                <w:color w:val="000000" w:themeColor="text1"/>
                <w:sz w:val="22"/>
                <w:szCs w:val="22"/>
              </w:rPr>
            </w:pPr>
            <w:r>
              <w:rPr>
                <w:i/>
                <w:iCs/>
                <w:color w:val="000000" w:themeColor="text1"/>
                <w:sz w:val="22"/>
                <w:szCs w:val="22"/>
              </w:rPr>
              <w:t>E</w:t>
            </w:r>
            <w:r w:rsidR="00B75B06" w:rsidRPr="007444FF">
              <w:rPr>
                <w:i/>
                <w:iCs/>
                <w:color w:val="000000" w:themeColor="text1"/>
                <w:sz w:val="22"/>
                <w:szCs w:val="22"/>
              </w:rPr>
              <w:t>EF - High quality teaching improves pupil outcomes, and effective professional development offers a crucial tool to develop teaching quality and enhance children’s outcomes in the classroom.</w:t>
            </w:r>
          </w:p>
          <w:p w14:paraId="2A7D551F" w14:textId="6D74A22F" w:rsidR="00BF06D6" w:rsidRPr="00334699" w:rsidRDefault="00BF06D6" w:rsidP="00BF06D6">
            <w:pPr>
              <w:pStyle w:val="TableRow"/>
              <w:textAlignment w:val="baseline"/>
              <w:rPr>
                <w:color w:val="000000" w:themeColor="text1"/>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57C2A9C" w:rsidR="00BF06D6" w:rsidRPr="00775C22" w:rsidRDefault="00102916" w:rsidP="00BF06D6">
            <w:pPr>
              <w:pStyle w:val="TableRowCentered"/>
              <w:jc w:val="left"/>
              <w:rPr>
                <w:color w:val="C0504D" w:themeColor="accent2"/>
                <w:sz w:val="22"/>
              </w:rPr>
            </w:pPr>
            <w:r>
              <w:rPr>
                <w:color w:val="C0504D" w:themeColor="accent2"/>
                <w:sz w:val="22"/>
              </w:rPr>
              <w:t>1</w:t>
            </w:r>
            <w:r w:rsidR="00BF06D6">
              <w:rPr>
                <w:color w:val="C0504D" w:themeColor="accent2"/>
                <w:sz w:val="22"/>
              </w:rPr>
              <w:t xml:space="preserve"> </w:t>
            </w:r>
          </w:p>
        </w:tc>
      </w:tr>
      <w:tr w:rsidR="47FEB853" w14:paraId="4F17C9AC" w14:textId="77777777" w:rsidTr="47FEB853">
        <w:trPr>
          <w:trHeight w:val="300"/>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19701" w14:textId="77777777" w:rsidR="374C75F2" w:rsidRDefault="374C75F2" w:rsidP="47FEB853">
            <w:pPr>
              <w:pStyle w:val="TableRow"/>
            </w:pPr>
            <w:r w:rsidRPr="47FEB853">
              <w:t xml:space="preserve">Maths - Enhance teachers’ pedagogical knowledge; focus upon the use of resources to </w:t>
            </w:r>
            <w:r w:rsidRPr="47FEB853">
              <w:lastRenderedPageBreak/>
              <w:t>develop pupils’ conceptual understanding &amp; focus upon challenging pupils through deepening their learning</w:t>
            </w:r>
          </w:p>
          <w:p w14:paraId="192F4BA3" w14:textId="77777777" w:rsidR="00DA7FED" w:rsidRDefault="00DA7FED" w:rsidP="47FEB853">
            <w:pPr>
              <w:pStyle w:val="TableRow"/>
            </w:pPr>
          </w:p>
          <w:p w14:paraId="6543B977" w14:textId="29D838C2" w:rsidR="00DA7FED" w:rsidRDefault="00DA7FED" w:rsidP="47FEB853">
            <w:pPr>
              <w:pStyle w:val="TableRow"/>
            </w:pPr>
            <w:r>
              <w:t>£3000</w:t>
            </w:r>
          </w:p>
        </w:tc>
        <w:tc>
          <w:tcPr>
            <w:tcW w:w="5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76CC5" w14:textId="2479EE4A" w:rsidR="31D7CAED" w:rsidRDefault="31D7CAED" w:rsidP="47FEB853">
            <w:pPr>
              <w:pStyle w:val="TableRow"/>
              <w:rPr>
                <w:i/>
                <w:iCs/>
                <w:color w:val="000000" w:themeColor="text1"/>
                <w:sz w:val="22"/>
                <w:szCs w:val="22"/>
              </w:rPr>
            </w:pPr>
            <w:r w:rsidRPr="47FEB853">
              <w:rPr>
                <w:i/>
                <w:iCs/>
                <w:color w:val="000000" w:themeColor="text1"/>
                <w:sz w:val="22"/>
                <w:szCs w:val="22"/>
              </w:rPr>
              <w:lastRenderedPageBreak/>
              <w:t>EEF – Professional development should be used to raise the quality of practitioners’ knowledge of mathematics, of children’s mathematical development, and of effective mathematical pedagogy.</w:t>
            </w:r>
          </w:p>
          <w:p w14:paraId="5155B765" w14:textId="7C4A036F" w:rsidR="31D7CAED" w:rsidRDefault="31D7CAED" w:rsidP="47FEB853">
            <w:pPr>
              <w:pStyle w:val="TableRow"/>
            </w:pPr>
            <w:r w:rsidRPr="47FEB853">
              <w:rPr>
                <w:i/>
                <w:iCs/>
                <w:color w:val="000000" w:themeColor="text1"/>
                <w:sz w:val="22"/>
                <w:szCs w:val="22"/>
              </w:rPr>
              <w:lastRenderedPageBreak/>
              <w:t>EEF guide to professional development states that PD activities are unlikely to be successful without ensuring there is both high-quality content and a sharp focus on pupil outcomes. It is recommended to provide explicit support to help teachers apply general pedagogy to specific subject domains.</w:t>
            </w:r>
          </w:p>
          <w:p w14:paraId="79A1B6AD" w14:textId="6ED15990" w:rsidR="47FEB853" w:rsidRDefault="47FEB853" w:rsidP="47FEB853">
            <w:pPr>
              <w:pStyle w:val="TableRow"/>
              <w:rPr>
                <w:i/>
                <w:iCs/>
                <w:color w:val="000000" w:themeColor="text1"/>
                <w:sz w:val="22"/>
                <w:szCs w:val="22"/>
              </w:rPr>
            </w:pPr>
          </w:p>
          <w:p w14:paraId="75142281" w14:textId="0131D380" w:rsidR="70E17D62" w:rsidRDefault="70E17D62" w:rsidP="47FEB853">
            <w:pPr>
              <w:pStyle w:val="TableRow"/>
            </w:pPr>
            <w:r w:rsidRPr="47FEB853">
              <w:rPr>
                <w:color w:val="0D0D0D" w:themeColor="text1" w:themeTint="F2"/>
              </w:rPr>
              <w:t>202</w:t>
            </w:r>
            <w:r w:rsidR="00B07E1F">
              <w:rPr>
                <w:color w:val="0D0D0D" w:themeColor="text1" w:themeTint="F2"/>
              </w:rPr>
              <w:t>3-24</w:t>
            </w:r>
            <w:r w:rsidRPr="47FEB853">
              <w:rPr>
                <w:color w:val="0D0D0D" w:themeColor="text1" w:themeTint="F2"/>
              </w:rPr>
              <w:t xml:space="preserve"> - </w:t>
            </w:r>
            <w:r w:rsidR="00163860">
              <w:rPr>
                <w:color w:val="0D0D0D" w:themeColor="text1" w:themeTint="F2"/>
              </w:rPr>
              <w:t>W</w:t>
            </w:r>
            <w:r w:rsidRPr="47FEB853">
              <w:rPr>
                <w:color w:val="0D0D0D" w:themeColor="text1" w:themeTint="F2"/>
              </w:rPr>
              <w:t>e will be working with a mathematics consultant to support staff CPD and develop pedagogical knowledge.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13A8B" w14:textId="16B4F636" w:rsidR="31D7CAED" w:rsidRDefault="31D7CAED" w:rsidP="47FEB853">
            <w:pPr>
              <w:pStyle w:val="TableRowCentered"/>
              <w:jc w:val="left"/>
              <w:rPr>
                <w:color w:val="C0504D" w:themeColor="accent2"/>
                <w:sz w:val="22"/>
                <w:szCs w:val="22"/>
              </w:rPr>
            </w:pPr>
            <w:r w:rsidRPr="47FEB853">
              <w:rPr>
                <w:color w:val="C0504D" w:themeColor="accent2"/>
                <w:sz w:val="22"/>
                <w:szCs w:val="22"/>
              </w:rPr>
              <w:lastRenderedPageBreak/>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3B8CA96" w:rsidR="00E66558" w:rsidRDefault="009D71E8">
      <w:r w:rsidRPr="00DA7FED">
        <w:t>Budgeted cost: £</w:t>
      </w:r>
    </w:p>
    <w:tbl>
      <w:tblPr>
        <w:tblW w:w="9909" w:type="dxa"/>
        <w:tblCellMar>
          <w:left w:w="10" w:type="dxa"/>
          <w:right w:w="10" w:type="dxa"/>
        </w:tblCellMar>
        <w:tblLook w:val="04A0" w:firstRow="1" w:lastRow="0" w:firstColumn="1" w:lastColumn="0" w:noHBand="0" w:noVBand="1"/>
      </w:tblPr>
      <w:tblGrid>
        <w:gridCol w:w="2688"/>
        <w:gridCol w:w="5595"/>
        <w:gridCol w:w="1626"/>
      </w:tblGrid>
      <w:tr w:rsidR="00713138" w14:paraId="2A7D5528" w14:textId="77777777" w:rsidTr="47FEB85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13138" w14:paraId="2A7D552C" w14:textId="77777777" w:rsidTr="47FEB85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9F962C" w14:textId="19D2F603" w:rsidR="00E5315E" w:rsidRDefault="00E5315E" w:rsidP="00E5315E">
            <w:pPr>
              <w:pStyle w:val="TableRow"/>
              <w:rPr>
                <w:color w:val="000000" w:themeColor="text1"/>
              </w:rPr>
            </w:pPr>
            <w:r w:rsidRPr="004500CC">
              <w:rPr>
                <w:color w:val="000000" w:themeColor="text1"/>
              </w:rPr>
              <w:t xml:space="preserve">Learning Mentor to work </w:t>
            </w:r>
            <w:r w:rsidR="004500CC" w:rsidRPr="004500CC">
              <w:rPr>
                <w:color w:val="000000" w:themeColor="text1"/>
              </w:rPr>
              <w:t xml:space="preserve">with </w:t>
            </w:r>
            <w:r w:rsidRPr="004500CC">
              <w:rPr>
                <w:color w:val="000000" w:themeColor="text1"/>
              </w:rPr>
              <w:t>disadvantaged pupils across the school to support their learning.</w:t>
            </w:r>
          </w:p>
          <w:p w14:paraId="4D349965" w14:textId="75ED9C64" w:rsidR="00B659B5" w:rsidRDefault="00B659B5" w:rsidP="00E5315E">
            <w:pPr>
              <w:pStyle w:val="TableRow"/>
              <w:rPr>
                <w:color w:val="000000" w:themeColor="text1"/>
              </w:rPr>
            </w:pPr>
          </w:p>
          <w:p w14:paraId="3E15D6F9" w14:textId="744709C5" w:rsidR="00DF0A3E" w:rsidRPr="004500CC" w:rsidRDefault="00DA7FED">
            <w:pPr>
              <w:pStyle w:val="TableRow"/>
              <w:rPr>
                <w:color w:val="000000" w:themeColor="text1"/>
              </w:rPr>
            </w:pPr>
            <w:r>
              <w:rPr>
                <w:color w:val="000000" w:themeColor="text1"/>
              </w:rPr>
              <w:t>£</w:t>
            </w:r>
            <w:r w:rsidR="009064B1">
              <w:rPr>
                <w:color w:val="000000" w:themeColor="text1"/>
              </w:rPr>
              <w:t xml:space="preserve"> 14,693</w:t>
            </w:r>
          </w:p>
          <w:p w14:paraId="2A7D5529" w14:textId="29B99AB8" w:rsidR="004B42DB" w:rsidRPr="004500CC" w:rsidRDefault="004B42DB" w:rsidP="47FEB853">
            <w:pPr>
              <w:pStyle w:val="TableRow"/>
              <w:rPr>
                <w:color w:val="000000" w:themeColor="text1"/>
              </w:rPr>
            </w:pP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A" w14:textId="30772980" w:rsidR="004B42DB" w:rsidRPr="00713138" w:rsidRDefault="004B42DB" w:rsidP="00713138">
            <w:pPr>
              <w:pStyle w:val="TableRowCentered"/>
              <w:ind w:left="0"/>
              <w:jc w:val="left"/>
              <w:rPr>
                <w:color w:val="000000" w:themeColor="text1"/>
                <w:sz w:val="22"/>
                <w:szCs w:val="22"/>
              </w:rPr>
            </w:pPr>
            <w:r w:rsidRPr="002471DD">
              <w:rPr>
                <w:i/>
                <w:iCs/>
                <w:color w:val="000000" w:themeColor="text1"/>
                <w:sz w:val="22"/>
                <w:szCs w:val="22"/>
              </w:rPr>
              <w:t>EEF (+4)</w:t>
            </w:r>
            <w:r w:rsidR="00713138" w:rsidRPr="002471DD">
              <w:rPr>
                <w:i/>
                <w:iCs/>
                <w:color w:val="000000" w:themeColor="text1"/>
                <w:sz w:val="22"/>
                <w:szCs w:val="22"/>
              </w:rPr>
              <w:t xml:space="preserve"> </w:t>
            </w:r>
            <w:r w:rsidRPr="002471DD">
              <w:rPr>
                <w:i/>
                <w:iCs/>
                <w:color w:val="000000" w:themeColor="text1"/>
                <w:sz w:val="22"/>
                <w:szCs w:val="22"/>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447B4A56" w:rsidR="00E66558" w:rsidRDefault="00102916">
            <w:pPr>
              <w:pStyle w:val="TableRowCentered"/>
              <w:jc w:val="left"/>
              <w:rPr>
                <w:sz w:val="22"/>
              </w:rPr>
            </w:pPr>
            <w:r>
              <w:rPr>
                <w:sz w:val="22"/>
              </w:rPr>
              <w:t>1, 2, 5</w:t>
            </w:r>
          </w:p>
        </w:tc>
      </w:tr>
      <w:tr w:rsidR="00713138" w14:paraId="47D0FEBC" w14:textId="77777777" w:rsidTr="47FEB85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0EA5CE" w14:textId="77777777" w:rsidR="004B53BB" w:rsidRDefault="382B3E55" w:rsidP="00120DA3">
            <w:pPr>
              <w:pStyle w:val="TableRow"/>
              <w:rPr>
                <w:color w:val="000000" w:themeColor="text1"/>
              </w:rPr>
            </w:pPr>
            <w:r w:rsidRPr="47FEB853">
              <w:rPr>
                <w:color w:val="000000" w:themeColor="text1"/>
              </w:rPr>
              <w:t>TA’s deployed across the school to work in classrooms alongside the teacher to enable delivery of high quality classroom teaching.</w:t>
            </w:r>
          </w:p>
          <w:p w14:paraId="4092A716" w14:textId="77777777" w:rsidR="00DA7FED" w:rsidRDefault="00DA7FED" w:rsidP="00120DA3">
            <w:pPr>
              <w:pStyle w:val="TableRow"/>
              <w:rPr>
                <w:color w:val="000000" w:themeColor="text1"/>
              </w:rPr>
            </w:pPr>
          </w:p>
          <w:p w14:paraId="1D7A7D1C" w14:textId="0E802A8D" w:rsidR="00DA7FED" w:rsidRDefault="00DA7FED" w:rsidP="00DA7FED">
            <w:pPr>
              <w:pStyle w:val="TableRow"/>
              <w:ind w:left="0"/>
              <w:rPr>
                <w:color w:val="000000" w:themeColor="text1"/>
              </w:rPr>
            </w:pPr>
            <w:r>
              <w:rPr>
                <w:color w:val="000000" w:themeColor="text1"/>
              </w:rPr>
              <w:t>£</w:t>
            </w:r>
            <w:r w:rsidR="009064B1">
              <w:rPr>
                <w:color w:val="000000" w:themeColor="text1"/>
              </w:rPr>
              <w:t xml:space="preserve"> 25,224.36</w:t>
            </w:r>
          </w:p>
          <w:p w14:paraId="57EDF89C" w14:textId="53D13F69" w:rsidR="00DA7FED" w:rsidRPr="004500CC" w:rsidRDefault="00DA7FED" w:rsidP="00DA7FED">
            <w:pPr>
              <w:pStyle w:val="TableRow"/>
              <w:ind w:left="0"/>
              <w:rPr>
                <w:color w:val="000000" w:themeColor="text1"/>
              </w:rPr>
            </w:pP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75C1A" w14:textId="57F581CC" w:rsidR="00B659B5" w:rsidRPr="00CA0FF0" w:rsidRDefault="00166BBF" w:rsidP="00915027">
            <w:pPr>
              <w:pStyle w:val="TableRowCentered"/>
              <w:ind w:left="0"/>
              <w:jc w:val="left"/>
              <w:rPr>
                <w:i/>
                <w:iCs/>
                <w:color w:val="000000" w:themeColor="text1"/>
                <w:sz w:val="22"/>
                <w:szCs w:val="22"/>
              </w:rPr>
            </w:pPr>
            <w:r w:rsidRPr="00CA0FF0">
              <w:rPr>
                <w:i/>
                <w:iCs/>
                <w:color w:val="000000" w:themeColor="text1"/>
                <w:sz w:val="22"/>
                <w:szCs w:val="22"/>
              </w:rPr>
              <w:t>EEF suggest that school leaders should develop effective teams of teachers and Tas, who understand their complementary roles in the classroom. School should try and organise staff so that the pupils who struggle most have as much time with the teacher as others.</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52CB6" w14:textId="62D90364" w:rsidR="00B659B5" w:rsidRDefault="0002120D">
            <w:pPr>
              <w:pStyle w:val="TableRowCentered"/>
              <w:jc w:val="left"/>
              <w:rPr>
                <w:sz w:val="22"/>
              </w:rPr>
            </w:pPr>
            <w:r>
              <w:rPr>
                <w:sz w:val="22"/>
              </w:rPr>
              <w:t>1, 2, 5</w:t>
            </w:r>
          </w:p>
        </w:tc>
      </w:tr>
      <w:tr w:rsidR="00713138" w14:paraId="4FBA311D" w14:textId="77777777" w:rsidTr="47FEB85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57F1F" w14:textId="77777777" w:rsidR="005F71F0" w:rsidRDefault="00CA0FF0" w:rsidP="00E5315E">
            <w:pPr>
              <w:pStyle w:val="TableRow"/>
            </w:pPr>
            <w:r>
              <w:t>Interventions in place to support the progress of maths across the school where identified</w:t>
            </w:r>
            <w:r w:rsidR="00EA5F9B">
              <w:t xml:space="preserve"> </w:t>
            </w:r>
            <w:r w:rsidR="00647C5F">
              <w:t>–</w:t>
            </w:r>
            <w:r w:rsidR="00EA5F9B">
              <w:t xml:space="preserve"> </w:t>
            </w:r>
            <w:r w:rsidR="00647C5F">
              <w:t xml:space="preserve">Third Space Learning Maths </w:t>
            </w:r>
          </w:p>
          <w:p w14:paraId="4AE6CF04" w14:textId="77777777" w:rsidR="002339EC" w:rsidRDefault="002339EC" w:rsidP="00E5315E">
            <w:pPr>
              <w:pStyle w:val="TableRow"/>
            </w:pPr>
            <w:r>
              <w:t>Closing the gap with 1:1 tuition</w:t>
            </w:r>
          </w:p>
          <w:p w14:paraId="1693CBDA" w14:textId="77777777" w:rsidR="00DA7FED" w:rsidRDefault="00DA7FED" w:rsidP="00E5315E">
            <w:pPr>
              <w:pStyle w:val="TableRow"/>
            </w:pPr>
          </w:p>
          <w:p w14:paraId="3ED6660C" w14:textId="770E1CA0" w:rsidR="00DA7FED" w:rsidRDefault="00DA7FED" w:rsidP="00E5315E">
            <w:pPr>
              <w:pStyle w:val="TableRow"/>
              <w:rPr>
                <w:color w:val="000000" w:themeColor="text1"/>
              </w:rPr>
            </w:pPr>
            <w:r>
              <w:t>£</w:t>
            </w:r>
            <w:r w:rsidR="009064B1">
              <w:t>5000</w:t>
            </w: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DA4D4" w14:textId="77777777" w:rsidR="00CA0AE8" w:rsidRDefault="00EA5F9B" w:rsidP="00CA0FF0">
            <w:pPr>
              <w:pStyle w:val="TableRowCentered"/>
              <w:ind w:left="0"/>
              <w:jc w:val="left"/>
              <w:rPr>
                <w:i/>
                <w:iCs/>
                <w:color w:val="000000" w:themeColor="text1"/>
                <w:sz w:val="22"/>
                <w:szCs w:val="22"/>
              </w:rPr>
            </w:pPr>
            <w:r w:rsidRPr="00CA0FF0">
              <w:rPr>
                <w:i/>
                <w:iCs/>
                <w:color w:val="000000" w:themeColor="text1"/>
                <w:sz w:val="22"/>
                <w:szCs w:val="22"/>
              </w:rPr>
              <w:lastRenderedPageBreak/>
              <w:t>EEF (+4). Intensive tuition in small groups is often provided to support lower attaining learners or those who are falling behind, but it can also be used as a more general strategy to ensure effective progress, or to teach challenging topics or skills.</w:t>
            </w:r>
          </w:p>
          <w:p w14:paraId="5FF0809D" w14:textId="77777777" w:rsidR="002339EC" w:rsidRDefault="002339EC" w:rsidP="00CA0FF0">
            <w:pPr>
              <w:pStyle w:val="TableRowCentered"/>
              <w:ind w:left="0"/>
              <w:jc w:val="left"/>
              <w:rPr>
                <w:i/>
                <w:iCs/>
                <w:color w:val="000000" w:themeColor="text1"/>
                <w:sz w:val="22"/>
                <w:szCs w:val="22"/>
              </w:rPr>
            </w:pPr>
          </w:p>
          <w:p w14:paraId="2882DE1B" w14:textId="77777777" w:rsidR="002339EC" w:rsidRPr="00CA0FF0" w:rsidRDefault="002339EC" w:rsidP="002339EC">
            <w:pPr>
              <w:pStyle w:val="TableRowCentered"/>
              <w:ind w:left="0"/>
              <w:jc w:val="left"/>
              <w:rPr>
                <w:i/>
                <w:iCs/>
                <w:color w:val="000000" w:themeColor="text1"/>
                <w:sz w:val="22"/>
                <w:szCs w:val="22"/>
              </w:rPr>
            </w:pPr>
            <w:r w:rsidRPr="00CA0FF0">
              <w:rPr>
                <w:i/>
                <w:iCs/>
                <w:color w:val="000000" w:themeColor="text1"/>
                <w:sz w:val="22"/>
                <w:szCs w:val="22"/>
              </w:rPr>
              <w:t xml:space="preserve">EEF (+4). Intensive tuition in small groups is often provided to support lower attaining learners or those who are falling behind, but it can also be used as a </w:t>
            </w:r>
            <w:r w:rsidRPr="00CA0FF0">
              <w:rPr>
                <w:i/>
                <w:iCs/>
                <w:color w:val="000000" w:themeColor="text1"/>
                <w:sz w:val="22"/>
                <w:szCs w:val="22"/>
              </w:rPr>
              <w:lastRenderedPageBreak/>
              <w:t>more general strategy to ensure effective progress, or to teach challenging topics or skills.</w:t>
            </w:r>
          </w:p>
          <w:p w14:paraId="4215A9C9" w14:textId="1EA94CB5" w:rsidR="002339EC" w:rsidRPr="00CA0FF0" w:rsidRDefault="002339EC" w:rsidP="00CA0FF0">
            <w:pPr>
              <w:pStyle w:val="TableRowCentered"/>
              <w:ind w:left="0"/>
              <w:jc w:val="left"/>
              <w:rPr>
                <w:i/>
                <w:iCs/>
                <w:color w:val="000000" w:themeColor="text1"/>
                <w:sz w:val="22"/>
                <w:szCs w:val="22"/>
              </w:rP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1F4C2D" w14:textId="69D9BC9B" w:rsidR="00713138" w:rsidRDefault="00B72C26">
            <w:pPr>
              <w:pStyle w:val="TableRowCentered"/>
              <w:jc w:val="left"/>
              <w:rPr>
                <w:sz w:val="22"/>
              </w:rPr>
            </w:pPr>
            <w:r>
              <w:rPr>
                <w:sz w:val="22"/>
              </w:rPr>
              <w:lastRenderedPageBreak/>
              <w:t>1</w:t>
            </w:r>
          </w:p>
        </w:tc>
      </w:tr>
      <w:tr w:rsidR="005A6E39" w14:paraId="1A98CF90" w14:textId="77777777" w:rsidTr="47FEB85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3AFF4" w14:textId="77777777" w:rsidR="005A6E39" w:rsidRDefault="005A6E39" w:rsidP="005A6E39">
            <w:pPr>
              <w:pStyle w:val="TableRow"/>
              <w:rPr>
                <w:color w:val="000000" w:themeColor="text1"/>
              </w:rPr>
            </w:pPr>
            <w:r>
              <w:rPr>
                <w:color w:val="000000" w:themeColor="text1"/>
              </w:rPr>
              <w:t>Skilled phonics trained adults to run phonics booster sessions.</w:t>
            </w:r>
          </w:p>
          <w:p w14:paraId="66960D0E" w14:textId="77777777" w:rsidR="005A6E39" w:rsidRDefault="005A6E39" w:rsidP="005A6E39">
            <w:pPr>
              <w:pStyle w:val="TableRow"/>
            </w:pPr>
          </w:p>
          <w:p w14:paraId="00C6E0A4" w14:textId="3376ED79" w:rsidR="00DA7FED" w:rsidRDefault="00DA7FED" w:rsidP="005A6E39">
            <w:pPr>
              <w:pStyle w:val="TableRow"/>
            </w:pPr>
            <w:r>
              <w:t>£</w:t>
            </w:r>
            <w:r w:rsidR="00D65701">
              <w:t>800</w:t>
            </w:r>
          </w:p>
          <w:p w14:paraId="5D3E2383" w14:textId="57E17EB6" w:rsidR="00DA7FED" w:rsidRDefault="00DA7FED" w:rsidP="005A6E39">
            <w:pPr>
              <w:pStyle w:val="TableRow"/>
            </w:pPr>
          </w:p>
        </w:tc>
        <w:tc>
          <w:tcPr>
            <w:tcW w:w="5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E53FEB" w14:textId="37B2221F" w:rsidR="005A6E39" w:rsidRPr="00CA0FF0" w:rsidRDefault="005A6E39" w:rsidP="005A6E39">
            <w:pPr>
              <w:pStyle w:val="TableRowCentered"/>
              <w:ind w:left="0"/>
              <w:jc w:val="left"/>
              <w:rPr>
                <w:i/>
                <w:iCs/>
                <w:color w:val="000000" w:themeColor="text1"/>
                <w:sz w:val="22"/>
                <w:szCs w:val="22"/>
              </w:rPr>
            </w:pPr>
            <w:r w:rsidRPr="00CA0FF0">
              <w:rPr>
                <w:i/>
                <w:iCs/>
                <w:color w:val="000000" w:themeColor="text1"/>
                <w:sz w:val="22"/>
                <w:szCs w:val="22"/>
              </w:rPr>
              <w:t>EEF (+4). Intensive tuition in small groups is often provided to support lower attaining learners or those who are falling behind, but it can also be used as a more general strategy to ensure effective progress, or to teach challenging topics or skills.</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D1E05A" w14:textId="47D3CA1D" w:rsidR="005A6E39" w:rsidRDefault="005A6E39" w:rsidP="005A6E39">
            <w:pPr>
              <w:pStyle w:val="TableRowCentered"/>
              <w:jc w:val="left"/>
              <w:rPr>
                <w:sz w:val="22"/>
              </w:rPr>
            </w:pPr>
            <w:r>
              <w:rPr>
                <w:sz w:val="22"/>
              </w:rPr>
              <w:t>1, 2, 5</w:t>
            </w:r>
          </w:p>
        </w:tc>
      </w:tr>
    </w:tbl>
    <w:p w14:paraId="4A86CB30" w14:textId="1F5DD818" w:rsidR="00CA0AE8" w:rsidRDefault="00CA0AE8" w:rsidP="47FEB853"/>
    <w:p w14:paraId="2A7D5532" w14:textId="3386841B" w:rsidR="00E66558" w:rsidRDefault="009D71E8" w:rsidP="00BE166E">
      <w:pPr>
        <w:ind w:right="-569"/>
        <w:rPr>
          <w:b/>
          <w:color w:val="104F75"/>
          <w:sz w:val="28"/>
          <w:szCs w:val="28"/>
        </w:rPr>
      </w:pPr>
      <w:r>
        <w:rPr>
          <w:b/>
          <w:color w:val="104F75"/>
          <w:sz w:val="28"/>
          <w:szCs w:val="28"/>
        </w:rPr>
        <w:t>Wider strategies (for example, related to attendance, behaviour, wellbeing)</w:t>
      </w:r>
    </w:p>
    <w:p w14:paraId="2A7D5533" w14:textId="085613F5" w:rsidR="00E66558" w:rsidRDefault="009D71E8">
      <w:pPr>
        <w:spacing w:before="240" w:after="120"/>
      </w:pPr>
      <w:r w:rsidRPr="00DA7FED">
        <w:t>Budgeted cost: £</w:t>
      </w:r>
    </w:p>
    <w:tbl>
      <w:tblPr>
        <w:tblW w:w="10915" w:type="dxa"/>
        <w:tblInd w:w="-572" w:type="dxa"/>
        <w:tblCellMar>
          <w:left w:w="10" w:type="dxa"/>
          <w:right w:w="10" w:type="dxa"/>
        </w:tblCellMar>
        <w:tblLook w:val="04A0" w:firstRow="1" w:lastRow="0" w:firstColumn="1" w:lastColumn="0" w:noHBand="0" w:noVBand="1"/>
      </w:tblPr>
      <w:tblGrid>
        <w:gridCol w:w="3720"/>
        <w:gridCol w:w="5619"/>
        <w:gridCol w:w="1576"/>
      </w:tblGrid>
      <w:tr w:rsidR="00AD63B1" w14:paraId="2A7D5537" w14:textId="77777777" w:rsidTr="47FEB853">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00371216">
            <w:pPr>
              <w:pStyle w:val="TableHeader"/>
              <w:ind w:left="0"/>
              <w:jc w:val="left"/>
            </w:pPr>
            <w:r>
              <w:t>Evidence that supports this approach</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D63B1" w14:paraId="2A7D553B" w14:textId="77777777" w:rsidTr="47FEB853">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66C48" w14:textId="65B1CD82" w:rsidR="0023659F" w:rsidRDefault="75C91B87" w:rsidP="00556FCA">
            <w:pPr>
              <w:pStyle w:val="TableRow"/>
              <w:rPr>
                <w:color w:val="000000" w:themeColor="text1"/>
              </w:rPr>
            </w:pPr>
            <w:r w:rsidRPr="47FEB853">
              <w:rPr>
                <w:color w:val="000000" w:themeColor="text1"/>
              </w:rPr>
              <w:t>Well-Being &amp; Nurture HLTA to work with vulnerable families and improve parental engagement.</w:t>
            </w:r>
          </w:p>
          <w:p w14:paraId="7125F061" w14:textId="5783B89E" w:rsidR="00FD5266" w:rsidRDefault="00FD5266" w:rsidP="00556FCA">
            <w:pPr>
              <w:pStyle w:val="TableRow"/>
              <w:rPr>
                <w:color w:val="000000" w:themeColor="text1"/>
              </w:rPr>
            </w:pPr>
          </w:p>
          <w:p w14:paraId="734E5724" w14:textId="68A4A2DB" w:rsidR="00FD5266" w:rsidRDefault="00FD5266" w:rsidP="00556FCA">
            <w:pPr>
              <w:pStyle w:val="TableRow"/>
              <w:rPr>
                <w:color w:val="000000" w:themeColor="text1"/>
              </w:rPr>
            </w:pPr>
            <w:r>
              <w:rPr>
                <w:color w:val="000000" w:themeColor="text1"/>
              </w:rPr>
              <w:t>Tea-Pot Time – parent and school discussion group led by HLTA.</w:t>
            </w:r>
          </w:p>
          <w:p w14:paraId="0F089D01" w14:textId="587BEE74" w:rsidR="00DA7FED" w:rsidRDefault="00DA7FED" w:rsidP="00556FCA">
            <w:pPr>
              <w:pStyle w:val="TableRow"/>
              <w:rPr>
                <w:color w:val="000000" w:themeColor="text1"/>
              </w:rPr>
            </w:pPr>
          </w:p>
          <w:p w14:paraId="2577AFBC" w14:textId="588F3909" w:rsidR="00DA7FED" w:rsidRDefault="00DA7FED" w:rsidP="00556FCA">
            <w:pPr>
              <w:pStyle w:val="TableRow"/>
              <w:rPr>
                <w:color w:val="000000" w:themeColor="text1"/>
              </w:rPr>
            </w:pPr>
            <w:r>
              <w:rPr>
                <w:color w:val="000000" w:themeColor="text1"/>
              </w:rPr>
              <w:t>£</w:t>
            </w:r>
            <w:r w:rsidR="00D65701">
              <w:rPr>
                <w:color w:val="000000" w:themeColor="text1"/>
              </w:rPr>
              <w:t>5,204.34</w:t>
            </w:r>
          </w:p>
          <w:p w14:paraId="2A7D5538" w14:textId="36F0D2AD" w:rsidR="0024158A" w:rsidRPr="00556FCA" w:rsidRDefault="0024158A" w:rsidP="00556FCA">
            <w:pPr>
              <w:pStyle w:val="TableRow"/>
              <w:rPr>
                <w:color w:val="000000" w:themeColor="text1"/>
              </w:rPr>
            </w:pPr>
          </w:p>
        </w:tc>
        <w:tc>
          <w:tcPr>
            <w:tcW w:w="5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6B14B" w14:textId="34BF6CED" w:rsidR="00CA0A9C" w:rsidRPr="008A16EB" w:rsidRDefault="00CA0A9C" w:rsidP="00CA0A9C">
            <w:pPr>
              <w:pStyle w:val="NormalWeb"/>
              <w:spacing w:before="0" w:beforeAutospacing="0" w:after="288" w:afterAutospacing="0"/>
              <w:rPr>
                <w:rFonts w:ascii="Arial" w:hAnsi="Arial"/>
                <w:i/>
                <w:iCs/>
                <w:color w:val="0D0D0D"/>
                <w:sz w:val="22"/>
                <w:szCs w:val="20"/>
              </w:rPr>
            </w:pPr>
            <w:r w:rsidRPr="008A16EB">
              <w:rPr>
                <w:rFonts w:ascii="Arial" w:hAnsi="Arial"/>
                <w:i/>
                <w:iCs/>
                <w:color w:val="0D0D0D"/>
                <w:sz w:val="22"/>
                <w:szCs w:val="20"/>
              </w:rPr>
              <w:t>EEF (+3)</w:t>
            </w:r>
            <w:r w:rsidR="00BE166E">
              <w:rPr>
                <w:rFonts w:ascii="Arial" w:hAnsi="Arial"/>
                <w:i/>
                <w:iCs/>
                <w:color w:val="0D0D0D"/>
                <w:sz w:val="22"/>
                <w:szCs w:val="20"/>
              </w:rPr>
              <w:t xml:space="preserve"> </w:t>
            </w:r>
            <w:r w:rsidRPr="008A16EB">
              <w:rPr>
                <w:rFonts w:ascii="Arial" w:hAnsi="Arial"/>
                <w:i/>
                <w:iCs/>
                <w:color w:val="0D0D0D"/>
                <w:sz w:val="22"/>
                <w:szCs w:val="20"/>
              </w:rPr>
              <w:t>We define parental engagement as the involvement of parents in supporting their children’s academic learning. It includes: </w:t>
            </w:r>
          </w:p>
          <w:p w14:paraId="47C92E5C" w14:textId="77777777" w:rsidR="00CA0A9C" w:rsidRPr="008A16EB" w:rsidRDefault="00CA0A9C" w:rsidP="00CA0A9C">
            <w:pPr>
              <w:numPr>
                <w:ilvl w:val="0"/>
                <w:numId w:val="19"/>
              </w:numPr>
              <w:suppressAutoHyphens w:val="0"/>
              <w:autoSpaceDN/>
              <w:spacing w:before="100" w:beforeAutospacing="1" w:after="100" w:afterAutospacing="1" w:line="240" w:lineRule="auto"/>
              <w:rPr>
                <w:i/>
                <w:iCs/>
                <w:sz w:val="22"/>
                <w:szCs w:val="20"/>
              </w:rPr>
            </w:pPr>
            <w:r w:rsidRPr="008A16EB">
              <w:rPr>
                <w:i/>
                <w:iCs/>
                <w:sz w:val="22"/>
                <w:szCs w:val="20"/>
              </w:rPr>
              <w:t>general approaches which encourage parents to support their children with, for example reading or homework; </w:t>
            </w:r>
          </w:p>
          <w:p w14:paraId="0C044C4E" w14:textId="77777777" w:rsidR="00CA0A9C" w:rsidRPr="008A16EB" w:rsidRDefault="00CA0A9C" w:rsidP="00CA0A9C">
            <w:pPr>
              <w:numPr>
                <w:ilvl w:val="0"/>
                <w:numId w:val="19"/>
              </w:numPr>
              <w:suppressAutoHyphens w:val="0"/>
              <w:autoSpaceDN/>
              <w:spacing w:before="100" w:beforeAutospacing="1" w:after="100" w:afterAutospacing="1" w:line="240" w:lineRule="auto"/>
              <w:rPr>
                <w:i/>
                <w:iCs/>
                <w:sz w:val="22"/>
                <w:szCs w:val="20"/>
              </w:rPr>
            </w:pPr>
            <w:r w:rsidRPr="008A16EB">
              <w:rPr>
                <w:i/>
                <w:iCs/>
                <w:sz w:val="22"/>
                <w:szCs w:val="20"/>
              </w:rPr>
              <w:t>the involvement of parents in their children’s learning activities; and </w:t>
            </w:r>
          </w:p>
          <w:p w14:paraId="2A7D5539" w14:textId="00235847" w:rsidR="00E66558" w:rsidRPr="00556FCA" w:rsidRDefault="110AD8A8" w:rsidP="00556FCA">
            <w:pPr>
              <w:numPr>
                <w:ilvl w:val="0"/>
                <w:numId w:val="19"/>
              </w:numPr>
              <w:suppressAutoHyphens w:val="0"/>
              <w:autoSpaceDN/>
              <w:spacing w:before="100" w:beforeAutospacing="1" w:after="100" w:afterAutospacing="1" w:line="240" w:lineRule="auto"/>
              <w:rPr>
                <w:i/>
                <w:iCs/>
                <w:sz w:val="22"/>
                <w:szCs w:val="20"/>
              </w:rPr>
            </w:pPr>
            <w:r w:rsidRPr="47FEB853">
              <w:rPr>
                <w:i/>
                <w:iCs/>
                <w:sz w:val="22"/>
                <w:szCs w:val="22"/>
              </w:rPr>
              <w:t>more intensive programmes for families in crisis.</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0329EF3E" w:rsidR="00E66558" w:rsidRDefault="00102916">
            <w:pPr>
              <w:pStyle w:val="TableRowCentered"/>
              <w:jc w:val="left"/>
              <w:rPr>
                <w:sz w:val="22"/>
              </w:rPr>
            </w:pPr>
            <w:r>
              <w:rPr>
                <w:sz w:val="22"/>
              </w:rPr>
              <w:t>3</w:t>
            </w:r>
          </w:p>
        </w:tc>
      </w:tr>
      <w:tr w:rsidR="00AD63B1" w14:paraId="0A0CA777" w14:textId="77777777" w:rsidTr="47FEB853">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E5068" w14:textId="64313B36" w:rsidR="0024158A" w:rsidRPr="006172CC" w:rsidRDefault="00D65701" w:rsidP="00556FCA">
            <w:pPr>
              <w:pStyle w:val="TableRow"/>
              <w:ind w:left="0"/>
              <w:rPr>
                <w:color w:val="000000" w:themeColor="text1"/>
                <w:sz w:val="14"/>
                <w:szCs w:val="14"/>
              </w:rPr>
            </w:pPr>
            <w:r>
              <w:rPr>
                <w:color w:val="000000" w:themeColor="text1"/>
              </w:rPr>
              <w:t xml:space="preserve">Head of School </w:t>
            </w:r>
            <w:r w:rsidR="00556FCA" w:rsidRPr="47FEB853">
              <w:rPr>
                <w:color w:val="000000" w:themeColor="text1"/>
              </w:rPr>
              <w:t xml:space="preserve">to work closely with Office Administrator to analyse attendance and contact low attenders. </w:t>
            </w:r>
          </w:p>
          <w:p w14:paraId="33602E2D" w14:textId="0A9C90A5" w:rsidR="00556FCA" w:rsidRPr="006172CC" w:rsidRDefault="00556FCA" w:rsidP="00556FCA">
            <w:pPr>
              <w:pStyle w:val="TableRow"/>
              <w:ind w:left="0"/>
              <w:rPr>
                <w:color w:val="000000" w:themeColor="text1"/>
                <w:sz w:val="14"/>
                <w:szCs w:val="14"/>
              </w:rPr>
            </w:pPr>
          </w:p>
          <w:p w14:paraId="39F7E1C3" w14:textId="5591A7E9" w:rsidR="00556FCA" w:rsidRPr="00915027" w:rsidRDefault="00556FCA" w:rsidP="006172CC">
            <w:pPr>
              <w:pStyle w:val="TableRow"/>
              <w:ind w:left="0"/>
              <w:rPr>
                <w:color w:val="000000" w:themeColor="text1"/>
              </w:rPr>
            </w:pPr>
            <w:r w:rsidRPr="47FEB853">
              <w:rPr>
                <w:color w:val="000000" w:themeColor="text1"/>
              </w:rPr>
              <w:t>202</w:t>
            </w:r>
            <w:r w:rsidR="00D65701">
              <w:rPr>
                <w:color w:val="000000" w:themeColor="text1"/>
              </w:rPr>
              <w:t>3</w:t>
            </w:r>
            <w:r w:rsidRPr="47FEB853">
              <w:rPr>
                <w:color w:val="000000" w:themeColor="text1"/>
              </w:rPr>
              <w:t>-202</w:t>
            </w:r>
            <w:r w:rsidR="00D65701">
              <w:rPr>
                <w:color w:val="000000" w:themeColor="text1"/>
              </w:rPr>
              <w:t>4</w:t>
            </w:r>
            <w:r w:rsidRPr="47FEB853">
              <w:rPr>
                <w:color w:val="000000" w:themeColor="text1"/>
              </w:rPr>
              <w:t xml:space="preserve"> - work with EWO to improve attendance.</w:t>
            </w:r>
            <w:r w:rsidR="006172CC">
              <w:rPr>
                <w:color w:val="000000" w:themeColor="text1"/>
              </w:rPr>
              <w:t xml:space="preserve"> </w:t>
            </w:r>
            <w:r w:rsidRPr="47FEB853">
              <w:rPr>
                <w:color w:val="000000" w:themeColor="text1"/>
              </w:rPr>
              <w:t>Targeted attendance activities, including:</w:t>
            </w:r>
          </w:p>
          <w:p w14:paraId="759CB65A" w14:textId="77777777" w:rsidR="00556FCA" w:rsidRDefault="00556FCA" w:rsidP="00556FCA">
            <w:pPr>
              <w:pStyle w:val="ListParagraph"/>
              <w:numPr>
                <w:ilvl w:val="0"/>
                <w:numId w:val="1"/>
              </w:numPr>
              <w:spacing w:line="254" w:lineRule="auto"/>
              <w:rPr>
                <w:color w:val="000000" w:themeColor="text1"/>
              </w:rPr>
            </w:pPr>
            <w:r w:rsidRPr="47FEB853">
              <w:rPr>
                <w:color w:val="000000" w:themeColor="text1"/>
              </w:rPr>
              <w:t>Review and update attendance policy</w:t>
            </w:r>
          </w:p>
          <w:p w14:paraId="6754CA62" w14:textId="07695B68" w:rsidR="00D65701" w:rsidRDefault="00D65701" w:rsidP="00556FCA">
            <w:pPr>
              <w:pStyle w:val="ListParagraph"/>
              <w:numPr>
                <w:ilvl w:val="0"/>
                <w:numId w:val="1"/>
              </w:numPr>
              <w:spacing w:line="254" w:lineRule="auto"/>
              <w:rPr>
                <w:color w:val="000000" w:themeColor="text1"/>
              </w:rPr>
            </w:pPr>
            <w:r>
              <w:rPr>
                <w:color w:val="000000" w:themeColor="text1"/>
              </w:rPr>
              <w:t>Adopt Bristol approach</w:t>
            </w:r>
          </w:p>
          <w:p w14:paraId="57098F35" w14:textId="741699D1" w:rsidR="00D65701" w:rsidRPr="00915027" w:rsidRDefault="00D65701" w:rsidP="00556FCA">
            <w:pPr>
              <w:pStyle w:val="ListParagraph"/>
              <w:numPr>
                <w:ilvl w:val="0"/>
                <w:numId w:val="1"/>
              </w:numPr>
              <w:spacing w:line="254" w:lineRule="auto"/>
              <w:rPr>
                <w:color w:val="000000" w:themeColor="text1"/>
              </w:rPr>
            </w:pPr>
            <w:r>
              <w:rPr>
                <w:color w:val="000000" w:themeColor="text1"/>
              </w:rPr>
              <w:t>HOS attended Bristol approach course</w:t>
            </w:r>
          </w:p>
          <w:p w14:paraId="416D9282" w14:textId="77777777" w:rsidR="006172CC" w:rsidRDefault="00556FCA" w:rsidP="006172CC">
            <w:pPr>
              <w:pStyle w:val="ListParagraph"/>
              <w:numPr>
                <w:ilvl w:val="0"/>
                <w:numId w:val="1"/>
              </w:numPr>
              <w:spacing w:line="240" w:lineRule="auto"/>
              <w:rPr>
                <w:color w:val="000000" w:themeColor="text1"/>
              </w:rPr>
            </w:pPr>
            <w:r w:rsidRPr="47FEB853">
              <w:rPr>
                <w:color w:val="000000" w:themeColor="text1"/>
              </w:rPr>
              <w:t>Work with PP parents and students to identify specific barriers to attendance</w:t>
            </w:r>
          </w:p>
          <w:p w14:paraId="47F8CFAC" w14:textId="77777777" w:rsidR="00556FCA" w:rsidRDefault="00556FCA" w:rsidP="006172CC">
            <w:pPr>
              <w:pStyle w:val="ListParagraph"/>
              <w:numPr>
                <w:ilvl w:val="0"/>
                <w:numId w:val="0"/>
              </w:numPr>
              <w:spacing w:line="240" w:lineRule="auto"/>
              <w:rPr>
                <w:color w:val="000000" w:themeColor="text1"/>
              </w:rPr>
            </w:pPr>
            <w:r w:rsidRPr="006172CC">
              <w:rPr>
                <w:color w:val="000000" w:themeColor="text1"/>
              </w:rPr>
              <w:lastRenderedPageBreak/>
              <w:t>Target support based on specific barriers</w:t>
            </w:r>
            <w:r w:rsidR="00F8343B">
              <w:rPr>
                <w:color w:val="000000" w:themeColor="text1"/>
              </w:rPr>
              <w:t>.</w:t>
            </w:r>
          </w:p>
          <w:p w14:paraId="57990E20" w14:textId="77777777" w:rsidR="00DA7FED" w:rsidRDefault="00DA7FED" w:rsidP="006172CC">
            <w:pPr>
              <w:pStyle w:val="ListParagraph"/>
              <w:numPr>
                <w:ilvl w:val="0"/>
                <w:numId w:val="0"/>
              </w:numPr>
              <w:spacing w:line="240" w:lineRule="auto"/>
              <w:rPr>
                <w:color w:val="000000" w:themeColor="text1"/>
              </w:rPr>
            </w:pPr>
          </w:p>
          <w:p w14:paraId="408265D7" w14:textId="5117200A" w:rsidR="00DA7FED" w:rsidRPr="006172CC" w:rsidRDefault="00DA7FED" w:rsidP="006172CC">
            <w:pPr>
              <w:pStyle w:val="ListParagraph"/>
              <w:numPr>
                <w:ilvl w:val="0"/>
                <w:numId w:val="0"/>
              </w:numPr>
              <w:spacing w:line="240" w:lineRule="auto"/>
              <w:rPr>
                <w:color w:val="000000" w:themeColor="text1"/>
              </w:rPr>
            </w:pPr>
            <w:r>
              <w:rPr>
                <w:color w:val="000000" w:themeColor="text1"/>
              </w:rPr>
              <w:t>£2</w:t>
            </w:r>
            <w:r w:rsidR="00D65701">
              <w:rPr>
                <w:color w:val="000000" w:themeColor="text1"/>
              </w:rPr>
              <w:t>514</w:t>
            </w:r>
          </w:p>
        </w:tc>
        <w:tc>
          <w:tcPr>
            <w:tcW w:w="5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16ABC5" w14:textId="77777777" w:rsidR="00185DEC" w:rsidRDefault="00185DEC" w:rsidP="00556FCA">
            <w:pPr>
              <w:spacing w:line="254" w:lineRule="auto"/>
              <w:rPr>
                <w:rFonts w:eastAsia="Arial" w:cs="Arial"/>
                <w:color w:val="000000" w:themeColor="text1"/>
                <w:sz w:val="22"/>
                <w:szCs w:val="22"/>
              </w:rPr>
            </w:pPr>
          </w:p>
          <w:p w14:paraId="6709EF60" w14:textId="77777777" w:rsidR="00185DEC" w:rsidRDefault="00185DEC" w:rsidP="00556FCA">
            <w:pPr>
              <w:spacing w:line="254" w:lineRule="auto"/>
              <w:rPr>
                <w:rFonts w:eastAsia="Arial" w:cs="Arial"/>
                <w:color w:val="000000" w:themeColor="text1"/>
                <w:sz w:val="22"/>
                <w:szCs w:val="22"/>
              </w:rPr>
            </w:pPr>
          </w:p>
          <w:p w14:paraId="0EAD14B4" w14:textId="77777777" w:rsidR="00185DEC" w:rsidRDefault="00185DEC" w:rsidP="00556FCA">
            <w:pPr>
              <w:spacing w:line="254" w:lineRule="auto"/>
              <w:rPr>
                <w:rFonts w:eastAsia="Arial" w:cs="Arial"/>
                <w:color w:val="000000" w:themeColor="text1"/>
                <w:sz w:val="22"/>
                <w:szCs w:val="22"/>
              </w:rPr>
            </w:pPr>
          </w:p>
          <w:p w14:paraId="75066145" w14:textId="77777777" w:rsidR="00185DEC" w:rsidRDefault="00185DEC" w:rsidP="00556FCA">
            <w:pPr>
              <w:spacing w:line="254" w:lineRule="auto"/>
              <w:rPr>
                <w:rFonts w:eastAsia="Arial" w:cs="Arial"/>
                <w:color w:val="000000" w:themeColor="text1"/>
                <w:sz w:val="22"/>
                <w:szCs w:val="22"/>
              </w:rPr>
            </w:pPr>
          </w:p>
          <w:p w14:paraId="607A4AFE" w14:textId="373EC651" w:rsidR="00556FCA" w:rsidRDefault="00556FCA" w:rsidP="00556FCA">
            <w:pPr>
              <w:spacing w:line="254" w:lineRule="auto"/>
            </w:pPr>
            <w:r w:rsidRPr="47FEB853">
              <w:rPr>
                <w:rFonts w:eastAsia="Arial" w:cs="Arial"/>
                <w:color w:val="000000" w:themeColor="text1"/>
                <w:sz w:val="22"/>
                <w:szCs w:val="22"/>
              </w:rPr>
              <w:t>Research presented by organisations such as Welsh Assembly Government (2011)</w:t>
            </w:r>
            <w:r w:rsidRPr="47FEB853">
              <w:rPr>
                <w:rFonts w:eastAsia="Arial" w:cs="Arial"/>
                <w:i/>
                <w:iCs/>
                <w:color w:val="000000" w:themeColor="text1"/>
                <w:sz w:val="22"/>
                <w:szCs w:val="22"/>
              </w:rPr>
              <w:t xml:space="preserve"> &amp; </w:t>
            </w:r>
            <w:r w:rsidRPr="47FEB853">
              <w:rPr>
                <w:rFonts w:eastAsia="Arial" w:cs="Arial"/>
                <w:color w:val="000000" w:themeColor="text1"/>
                <w:sz w:val="22"/>
                <w:szCs w:val="22"/>
              </w:rPr>
              <w:t>Durrington Research School (2018) suggest that the identified activities all have a significant impact on attendance outcomes for PP student</w:t>
            </w:r>
          </w:p>
          <w:p w14:paraId="6589C3EB" w14:textId="77777777" w:rsidR="00556FCA" w:rsidRPr="008A16EB" w:rsidRDefault="00556FCA" w:rsidP="00CA0A9C">
            <w:pPr>
              <w:pStyle w:val="NormalWeb"/>
              <w:spacing w:before="0" w:beforeAutospacing="0" w:after="288" w:afterAutospacing="0"/>
              <w:rPr>
                <w:rFonts w:ascii="Arial" w:hAnsi="Arial"/>
                <w:i/>
                <w:iCs/>
                <w:color w:val="0D0D0D"/>
                <w:sz w:val="22"/>
                <w:szCs w:val="20"/>
              </w:rPr>
            </w:pP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2DEDE7" w14:textId="2EC2A028" w:rsidR="00556FCA" w:rsidRDefault="000D5B56">
            <w:pPr>
              <w:pStyle w:val="TableRowCentered"/>
              <w:jc w:val="left"/>
              <w:rPr>
                <w:sz w:val="22"/>
              </w:rPr>
            </w:pPr>
            <w:r>
              <w:rPr>
                <w:sz w:val="22"/>
              </w:rPr>
              <w:t>4</w:t>
            </w:r>
          </w:p>
        </w:tc>
      </w:tr>
      <w:tr w:rsidR="00AD63B1" w14:paraId="2A7D553F" w14:textId="77777777" w:rsidTr="47FEB853">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DD5F18" w14:textId="611FCDB7" w:rsidR="00E66558" w:rsidRPr="00102916" w:rsidRDefault="00D95F63">
            <w:pPr>
              <w:pStyle w:val="TableRow"/>
              <w:rPr>
                <w:iCs/>
              </w:rPr>
            </w:pPr>
            <w:r w:rsidRPr="00102916">
              <w:rPr>
                <w:iCs/>
              </w:rPr>
              <w:t xml:space="preserve">Well-being &amp; Nurture HLTA </w:t>
            </w:r>
            <w:r w:rsidR="00CA0A9C" w:rsidRPr="00102916">
              <w:rPr>
                <w:iCs/>
              </w:rPr>
              <w:t xml:space="preserve">to support children who are having difficulty accessing </w:t>
            </w:r>
            <w:r w:rsidRPr="00102916">
              <w:rPr>
                <w:iCs/>
              </w:rPr>
              <w:t>curriculum due to self-esteem issues or difficulty managing emotions.</w:t>
            </w:r>
          </w:p>
          <w:p w14:paraId="7FFAE5E9" w14:textId="77777777" w:rsidR="00E5315E" w:rsidRDefault="00E5315E" w:rsidP="47FEB853">
            <w:pPr>
              <w:pStyle w:val="TableRow"/>
              <w:rPr>
                <w:color w:val="C0504D" w:themeColor="accent2"/>
              </w:rPr>
            </w:pPr>
          </w:p>
          <w:p w14:paraId="2A7D553C" w14:textId="7E4AF6E2" w:rsidR="00DA7FED" w:rsidRPr="00CA0AE8" w:rsidRDefault="00DA7FED" w:rsidP="47FEB853">
            <w:pPr>
              <w:pStyle w:val="TableRow"/>
              <w:rPr>
                <w:color w:val="C0504D" w:themeColor="accent2"/>
              </w:rPr>
            </w:pPr>
            <w:r w:rsidRPr="00DA7FED">
              <w:rPr>
                <w:color w:val="000000" w:themeColor="text1"/>
              </w:rPr>
              <w:t>£</w:t>
            </w:r>
            <w:r w:rsidR="00D65701">
              <w:rPr>
                <w:color w:val="000000" w:themeColor="text1"/>
              </w:rPr>
              <w:t>10,</w:t>
            </w:r>
            <w:r w:rsidR="00163860">
              <w:rPr>
                <w:color w:val="000000" w:themeColor="text1"/>
              </w:rPr>
              <w:t>000</w:t>
            </w:r>
            <w:r w:rsidR="00AD63B1">
              <w:rPr>
                <w:color w:val="000000" w:themeColor="text1"/>
              </w:rPr>
              <w:t xml:space="preserve">                                                                                                                                                                                                                                                                                                                                                                                                                                                                                                                                                                                                                                                                                                                                                                                                                                                                                                                                                                                                                                                                                                                                                                                                                                                                                                                                                                                                                                                                                                                                                                                                                                                                                                                                                                                                                                                                                                                                                                                                                                                                                                                                                                                                                                                                                                                                                                                                                                                                                                                                                                                                                                                                                                                                                                                                                                                                                                                                                                                                                                                                                                                                                                                                                                                                                                                                                                                                                                                                                                                                                                                                                                                                                                                                                                                                                                                                                                                                                                                                                                                                                                                                                                                                                                                                                                                                                                                                                                                                                                                                                                                                                                                                                                                                                                                                                                                                                                                                                                                                                                                                                                                                                                                                                                                                                                                            </w:t>
            </w:r>
          </w:p>
        </w:tc>
        <w:tc>
          <w:tcPr>
            <w:tcW w:w="5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3E3987B9" w:rsidR="0023659F" w:rsidRPr="00CA0AE8" w:rsidRDefault="0023659F" w:rsidP="00384B63">
            <w:pPr>
              <w:pStyle w:val="TableRowCentered"/>
              <w:jc w:val="left"/>
              <w:rPr>
                <w:i/>
                <w:iCs/>
                <w:sz w:val="21"/>
                <w:szCs w:val="18"/>
              </w:rPr>
            </w:pPr>
            <w:r w:rsidRPr="00CA0AE8">
              <w:rPr>
                <w:i/>
                <w:iCs/>
                <w:sz w:val="21"/>
                <w:szCs w:val="18"/>
              </w:rPr>
              <w:t>EEF (+4)</w:t>
            </w:r>
            <w:r w:rsidR="00384B63" w:rsidRPr="00CA0AE8">
              <w:rPr>
                <w:i/>
                <w:iCs/>
                <w:sz w:val="21"/>
                <w:szCs w:val="18"/>
              </w:rPr>
              <w:t xml:space="preserve"> </w:t>
            </w:r>
            <w:r w:rsidRPr="00CA0AE8">
              <w:rPr>
                <w:i/>
                <w:iCs/>
                <w:sz w:val="21"/>
                <w:szCs w:val="18"/>
              </w:rPr>
              <w:t xml:space="preserve">Social and Emotional Learning – interventions which target social and emotional learning seek to improve pupil’s interaction with others and </w:t>
            </w:r>
            <w:proofErr w:type="spellStart"/>
            <w:r w:rsidRPr="00CA0AE8">
              <w:rPr>
                <w:i/>
                <w:iCs/>
                <w:sz w:val="21"/>
                <w:szCs w:val="18"/>
              </w:rPr>
              <w:t>self management</w:t>
            </w:r>
            <w:proofErr w:type="spellEnd"/>
            <w:r w:rsidRPr="00CA0AE8">
              <w:rPr>
                <w:i/>
                <w:iCs/>
                <w:sz w:val="21"/>
                <w:szCs w:val="18"/>
              </w:rPr>
              <w:t xml:space="preserve"> of emotions, rather than focusing directly on the academic or cognitive elements of learning.  SEL interventions might focus on the ways in which students work with (and alongside) their peers, teachers, family and community.  These include: specialised programmes which are targeted at students with particular social or emotional needs.</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7CECDFC3" w:rsidR="00E66558" w:rsidRDefault="00102916">
            <w:pPr>
              <w:pStyle w:val="TableRowCentered"/>
              <w:jc w:val="left"/>
              <w:rPr>
                <w:sz w:val="22"/>
              </w:rPr>
            </w:pPr>
            <w:r>
              <w:rPr>
                <w:sz w:val="22"/>
              </w:rPr>
              <w:t xml:space="preserve">1, </w:t>
            </w:r>
            <w:r w:rsidR="005F7C12">
              <w:rPr>
                <w:sz w:val="22"/>
              </w:rPr>
              <w:t>2,</w:t>
            </w:r>
            <w:r>
              <w:rPr>
                <w:sz w:val="22"/>
              </w:rPr>
              <w:t xml:space="preserve"> </w:t>
            </w:r>
            <w:r w:rsidR="005F7C12">
              <w:rPr>
                <w:sz w:val="22"/>
              </w:rPr>
              <w:t>3,</w:t>
            </w:r>
            <w:r>
              <w:rPr>
                <w:sz w:val="22"/>
              </w:rPr>
              <w:t xml:space="preserve"> </w:t>
            </w:r>
            <w:r w:rsidR="00D95F63">
              <w:rPr>
                <w:sz w:val="22"/>
              </w:rPr>
              <w:t>4</w:t>
            </w:r>
            <w:r w:rsidR="004A3F0F">
              <w:rPr>
                <w:sz w:val="22"/>
              </w:rPr>
              <w:t>,</w:t>
            </w:r>
            <w:r>
              <w:rPr>
                <w:sz w:val="22"/>
              </w:rPr>
              <w:t xml:space="preserve"> </w:t>
            </w:r>
            <w:r w:rsidR="004A3F0F">
              <w:rPr>
                <w:sz w:val="22"/>
              </w:rPr>
              <w:t>5</w:t>
            </w:r>
          </w:p>
        </w:tc>
      </w:tr>
      <w:tr w:rsidR="00AD63B1" w14:paraId="5638276E" w14:textId="77777777" w:rsidTr="47FEB853">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A977C9" w14:textId="36746F51" w:rsidR="009035F6" w:rsidRDefault="009035F6">
            <w:pPr>
              <w:pStyle w:val="TableRow"/>
              <w:rPr>
                <w:iCs/>
              </w:rPr>
            </w:pPr>
            <w:r>
              <w:rPr>
                <w:iCs/>
              </w:rPr>
              <w:t>Enrichment opportunities supported e.g. trips and clubs. Support with uniform</w:t>
            </w:r>
            <w:r w:rsidR="009D6613">
              <w:rPr>
                <w:iCs/>
              </w:rPr>
              <w:t>.</w:t>
            </w:r>
          </w:p>
          <w:p w14:paraId="2BDF35AB" w14:textId="2D1AA04A" w:rsidR="00DA7FED" w:rsidRDefault="00DA7FED">
            <w:pPr>
              <w:pStyle w:val="TableRow"/>
              <w:rPr>
                <w:iCs/>
              </w:rPr>
            </w:pPr>
          </w:p>
          <w:p w14:paraId="7183EF14" w14:textId="3DDCAD60" w:rsidR="00DA7FED" w:rsidRDefault="00DA7FED">
            <w:pPr>
              <w:pStyle w:val="TableRow"/>
              <w:rPr>
                <w:iCs/>
              </w:rPr>
            </w:pPr>
            <w:r>
              <w:rPr>
                <w:iCs/>
              </w:rPr>
              <w:t>£1500</w:t>
            </w:r>
          </w:p>
          <w:p w14:paraId="37B4FA21" w14:textId="12D59BFC" w:rsidR="009035F6" w:rsidRPr="00102916" w:rsidRDefault="009035F6" w:rsidP="47FEB853">
            <w:pPr>
              <w:pStyle w:val="TableRow"/>
              <w:rPr>
                <w:sz w:val="2"/>
                <w:szCs w:val="2"/>
              </w:rPr>
            </w:pPr>
          </w:p>
        </w:tc>
        <w:tc>
          <w:tcPr>
            <w:tcW w:w="5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EC8F5E" w14:textId="443C6304" w:rsidR="009035F6" w:rsidRPr="00CA0AE8" w:rsidRDefault="009D6613">
            <w:pPr>
              <w:pStyle w:val="TableRowCentered"/>
              <w:jc w:val="left"/>
              <w:rPr>
                <w:i/>
                <w:iCs/>
                <w:sz w:val="21"/>
                <w:szCs w:val="18"/>
              </w:rPr>
            </w:pPr>
            <w:r w:rsidRPr="00CA0AE8">
              <w:rPr>
                <w:i/>
                <w:iCs/>
                <w:sz w:val="21"/>
                <w:szCs w:val="18"/>
              </w:rPr>
              <w:t>Children who are exposed to these have an enhanced knowledge and understanding of the world. When finance isn’t an issue for families, they almost always want their children to experience these.</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4D8A5" w14:textId="50C55CED" w:rsidR="009035F6" w:rsidRDefault="00474447">
            <w:pPr>
              <w:pStyle w:val="TableRowCentered"/>
              <w:jc w:val="left"/>
              <w:rPr>
                <w:sz w:val="22"/>
              </w:rPr>
            </w:pPr>
            <w:r>
              <w:rPr>
                <w:sz w:val="22"/>
              </w:rPr>
              <w:t>3, 5</w:t>
            </w:r>
          </w:p>
        </w:tc>
      </w:tr>
    </w:tbl>
    <w:p w14:paraId="2A7D555F" w14:textId="77777777" w:rsidR="00E66558" w:rsidRDefault="00E66558">
      <w:pPr>
        <w:spacing w:after="0" w:line="240" w:lineRule="auto"/>
      </w:pPr>
    </w:p>
    <w:bookmarkEnd w:id="14"/>
    <w:bookmarkEnd w:id="15"/>
    <w:bookmarkEnd w:id="16"/>
    <w:p w14:paraId="7DE44B64" w14:textId="77777777" w:rsidR="007C0C0C" w:rsidRDefault="007C0C0C" w:rsidP="007C0C0C">
      <w:pPr>
        <w:pStyle w:val="Heading1"/>
      </w:pPr>
      <w:r>
        <w:lastRenderedPageBreak/>
        <w:t>Part B: Review of outcomes in the previous academic year</w:t>
      </w:r>
    </w:p>
    <w:p w14:paraId="3A2D26C7" w14:textId="77777777" w:rsidR="007C0C0C" w:rsidRDefault="007C0C0C" w:rsidP="007C0C0C">
      <w:pPr>
        <w:pStyle w:val="Heading2"/>
      </w:pPr>
      <w:r>
        <w:t>Pupil premium strategy outcomes</w:t>
      </w:r>
    </w:p>
    <w:p w14:paraId="3318AF61" w14:textId="29B1ED81" w:rsidR="007C0C0C" w:rsidRDefault="2566A712" w:rsidP="47FEB853">
      <w:pPr>
        <w:spacing w:before="600"/>
        <w:rPr>
          <w:rFonts w:eastAsia="Arial" w:cs="Arial"/>
          <w:sz w:val="22"/>
          <w:szCs w:val="22"/>
        </w:rPr>
      </w:pPr>
      <w:r w:rsidRPr="47FEB853">
        <w:rPr>
          <w:rFonts w:eastAsia="Arial" w:cs="Arial"/>
          <w:sz w:val="22"/>
          <w:szCs w:val="22"/>
        </w:rPr>
        <w:t>Please see Pupil premium Impact Statement document 2021-2022</w:t>
      </w:r>
    </w:p>
    <w:p w14:paraId="028C0F5A" w14:textId="755801CF" w:rsidR="007C0C0C" w:rsidRDefault="007C0C0C" w:rsidP="47FEB853">
      <w:pPr>
        <w:pStyle w:val="Heading2"/>
      </w:pPr>
      <w:r>
        <w:t>Externally provided programmes</w:t>
      </w:r>
    </w:p>
    <w:p w14:paraId="523593F6" w14:textId="77777777" w:rsidR="007C0C0C" w:rsidRDefault="007C0C0C" w:rsidP="007C0C0C">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7C0C0C" w14:paraId="4BE6AAAB" w14:textId="77777777" w:rsidTr="47FEB85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C7A1AE9" w14:textId="77777777" w:rsidR="007C0C0C" w:rsidRDefault="007C0C0C" w:rsidP="006605FE">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367459F" w14:textId="77777777" w:rsidR="007C0C0C" w:rsidRDefault="007C0C0C" w:rsidP="006605FE">
            <w:pPr>
              <w:pStyle w:val="TableHeader"/>
              <w:jc w:val="left"/>
            </w:pPr>
            <w:r>
              <w:t>Provider</w:t>
            </w:r>
          </w:p>
        </w:tc>
      </w:tr>
      <w:tr w:rsidR="007C0C0C" w14:paraId="7A39EEBE" w14:textId="77777777" w:rsidTr="47FEB85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2E4E04" w14:textId="7EBC9FCB" w:rsidR="007C0C0C" w:rsidRDefault="005502CA" w:rsidP="006605FE">
            <w:pPr>
              <w:pStyle w:val="TableRow"/>
            </w:pPr>
            <w:r>
              <w:t>‘I am a clever writer’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3DEDF" w14:textId="1072D86E" w:rsidR="007C0C0C" w:rsidRDefault="78A790C0" w:rsidP="006605FE">
            <w:pPr>
              <w:pStyle w:val="TableRowCentered"/>
              <w:jc w:val="left"/>
            </w:pPr>
            <w:r>
              <w:t>Sarah Lilley Consultant – I am a clever writer</w:t>
            </w:r>
            <w:r w:rsidR="7D77E00F">
              <w:t xml:space="preserve"> (2021-202</w:t>
            </w:r>
            <w:r w:rsidR="00163860">
              <w:t>3</w:t>
            </w:r>
            <w:r w:rsidR="7D77E00F">
              <w:t>)</w:t>
            </w:r>
          </w:p>
        </w:tc>
      </w:tr>
      <w:tr w:rsidR="007C0C0C" w14:paraId="6DFD2C24" w14:textId="77777777" w:rsidTr="47FEB85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88F825" w14:textId="78D9A39A" w:rsidR="007C0C0C" w:rsidRDefault="29165556" w:rsidP="006605FE">
            <w:pPr>
              <w:pStyle w:val="TableRow"/>
            </w:pPr>
            <w:r w:rsidRPr="47FEB853">
              <w:t xml:space="preserve">Excellence for Schools – Maths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46680" w14:textId="244151C7" w:rsidR="007C0C0C" w:rsidRDefault="29165556" w:rsidP="006605FE">
            <w:pPr>
              <w:pStyle w:val="TableRowCentered"/>
              <w:jc w:val="left"/>
            </w:pPr>
            <w:r w:rsidRPr="47FEB853">
              <w:t>J D Hughes</w:t>
            </w:r>
            <w:r w:rsidR="776A4F2B" w:rsidRPr="47FEB853">
              <w:t xml:space="preserve"> (2022-202</w:t>
            </w:r>
            <w:r w:rsidR="00163860">
              <w:t>3</w:t>
            </w:r>
            <w:r w:rsidR="776A4F2B" w:rsidRPr="47FEB853">
              <w:t>)</w:t>
            </w:r>
          </w:p>
        </w:tc>
      </w:tr>
    </w:tbl>
    <w:p w14:paraId="249353CC" w14:textId="77777777" w:rsidR="007C0C0C" w:rsidRDefault="007C0C0C" w:rsidP="007C0C0C">
      <w:pPr>
        <w:pStyle w:val="Heading2"/>
        <w:spacing w:before="600"/>
      </w:pPr>
      <w:r>
        <w:t>Service pupil premium funding (optional)</w:t>
      </w:r>
    </w:p>
    <w:p w14:paraId="4302702F" w14:textId="77777777" w:rsidR="007C0C0C" w:rsidRDefault="007C0C0C" w:rsidP="007C0C0C">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7C0C0C" w14:paraId="2FFF9444" w14:textId="77777777" w:rsidTr="47FEB85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F9681F5" w14:textId="77777777" w:rsidR="007C0C0C" w:rsidRDefault="007C0C0C" w:rsidP="006605FE">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C046766" w14:textId="77777777" w:rsidR="007C0C0C" w:rsidRDefault="007C0C0C" w:rsidP="006605FE">
            <w:pPr>
              <w:pStyle w:val="TableHeader"/>
              <w:jc w:val="left"/>
            </w:pPr>
            <w:r>
              <w:rPr>
                <w:bCs/>
              </w:rPr>
              <w:t xml:space="preserve">Details </w:t>
            </w:r>
          </w:p>
        </w:tc>
      </w:tr>
      <w:tr w:rsidR="007C0C0C" w14:paraId="351B8A75" w14:textId="77777777" w:rsidTr="47FEB85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E7B0DE" w14:textId="77777777" w:rsidR="007C0C0C" w:rsidRDefault="007C0C0C" w:rsidP="006605FE">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92F62" w14:textId="77777777" w:rsidR="007C0C0C" w:rsidRDefault="007C0C0C" w:rsidP="006605FE">
            <w:pPr>
              <w:pStyle w:val="TableRowCentered"/>
              <w:jc w:val="left"/>
            </w:pPr>
          </w:p>
        </w:tc>
      </w:tr>
      <w:tr w:rsidR="007C0C0C" w14:paraId="17876139" w14:textId="77777777" w:rsidTr="47FEB85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B8BC2" w14:textId="77777777" w:rsidR="007C0C0C" w:rsidRDefault="007C0C0C" w:rsidP="006605FE">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D88D6" w14:textId="77777777" w:rsidR="007C0C0C" w:rsidRDefault="007C0C0C" w:rsidP="006605FE">
            <w:pPr>
              <w:pStyle w:val="TableRowCentered"/>
              <w:jc w:val="left"/>
            </w:pPr>
          </w:p>
        </w:tc>
      </w:tr>
      <w:bookmarkEnd w:id="17"/>
    </w:tbl>
    <w:p w14:paraId="4170C29F" w14:textId="561128BE" w:rsidR="47FEB853" w:rsidRDefault="47FEB853"/>
    <w:p w14:paraId="630755D5" w14:textId="77777777" w:rsidR="007C0C0C" w:rsidRDefault="007C0C0C" w:rsidP="007C0C0C">
      <w:pPr>
        <w:spacing w:after="0" w:line="240" w:lineRule="auto"/>
      </w:pPr>
    </w:p>
    <w:p w14:paraId="2B74B44E" w14:textId="77777777" w:rsidR="007C0C0C" w:rsidRDefault="007C0C0C" w:rsidP="007C0C0C">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7C0C0C" w14:paraId="5D8320D0" w14:textId="77777777" w:rsidTr="47FEB8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35EBB4" w14:textId="77777777" w:rsidR="007C0C0C" w:rsidRDefault="007C0C0C" w:rsidP="006605FE">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A02A4A" w14:textId="77777777" w:rsidR="007C0C0C" w:rsidRDefault="007C0C0C" w:rsidP="006605FE">
            <w:pPr>
              <w:spacing w:before="120" w:after="120"/>
              <w:rPr>
                <w:i/>
                <w:iCs/>
              </w:rPr>
            </w:pPr>
          </w:p>
        </w:tc>
      </w:tr>
    </w:tbl>
    <w:p w14:paraId="435F7422" w14:textId="2F8478EE" w:rsidR="47FEB853" w:rsidRDefault="47FEB853"/>
    <w:p w14:paraId="0A8EB3CB" w14:textId="77777777" w:rsidR="007C0C0C" w:rsidRDefault="007C0C0C" w:rsidP="007C0C0C"/>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4A39" w14:textId="77777777" w:rsidR="007A24D2" w:rsidRDefault="007A24D2">
      <w:pPr>
        <w:spacing w:after="0" w:line="240" w:lineRule="auto"/>
      </w:pPr>
      <w:r>
        <w:separator/>
      </w:r>
    </w:p>
  </w:endnote>
  <w:endnote w:type="continuationSeparator" w:id="0">
    <w:p w14:paraId="1DCF05B6" w14:textId="77777777" w:rsidR="007A24D2" w:rsidRDefault="007A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163860"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C884" w14:textId="77777777" w:rsidR="007A24D2" w:rsidRDefault="007A24D2">
      <w:pPr>
        <w:spacing w:after="0" w:line="240" w:lineRule="auto"/>
      </w:pPr>
      <w:r>
        <w:separator/>
      </w:r>
    </w:p>
  </w:footnote>
  <w:footnote w:type="continuationSeparator" w:id="0">
    <w:p w14:paraId="5E7C2903" w14:textId="77777777" w:rsidR="007A24D2" w:rsidRDefault="007A2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163860" w:rsidRDefault="00163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DCB8"/>
    <w:multiLevelType w:val="hybridMultilevel"/>
    <w:tmpl w:val="1D1ABAA4"/>
    <w:lvl w:ilvl="0" w:tplc="DA4880E6">
      <w:start w:val="1"/>
      <w:numFmt w:val="bullet"/>
      <w:lvlText w:val="·"/>
      <w:lvlJc w:val="left"/>
      <w:pPr>
        <w:ind w:left="720" w:hanging="360"/>
      </w:pPr>
      <w:rPr>
        <w:rFonts w:ascii="Symbol" w:hAnsi="Symbol" w:hint="default"/>
      </w:rPr>
    </w:lvl>
    <w:lvl w:ilvl="1" w:tplc="5AE4544A">
      <w:start w:val="1"/>
      <w:numFmt w:val="bullet"/>
      <w:lvlText w:val="o"/>
      <w:lvlJc w:val="left"/>
      <w:pPr>
        <w:ind w:left="1440" w:hanging="360"/>
      </w:pPr>
      <w:rPr>
        <w:rFonts w:ascii="Courier New" w:hAnsi="Courier New" w:hint="default"/>
      </w:rPr>
    </w:lvl>
    <w:lvl w:ilvl="2" w:tplc="014ACE5E">
      <w:start w:val="1"/>
      <w:numFmt w:val="bullet"/>
      <w:lvlText w:val=""/>
      <w:lvlJc w:val="left"/>
      <w:pPr>
        <w:ind w:left="2160" w:hanging="360"/>
      </w:pPr>
      <w:rPr>
        <w:rFonts w:ascii="Wingdings" w:hAnsi="Wingdings" w:hint="default"/>
      </w:rPr>
    </w:lvl>
    <w:lvl w:ilvl="3" w:tplc="A5D68ABC">
      <w:start w:val="1"/>
      <w:numFmt w:val="bullet"/>
      <w:lvlText w:val=""/>
      <w:lvlJc w:val="left"/>
      <w:pPr>
        <w:ind w:left="2880" w:hanging="360"/>
      </w:pPr>
      <w:rPr>
        <w:rFonts w:ascii="Symbol" w:hAnsi="Symbol" w:hint="default"/>
      </w:rPr>
    </w:lvl>
    <w:lvl w:ilvl="4" w:tplc="EDFA2DDC">
      <w:start w:val="1"/>
      <w:numFmt w:val="bullet"/>
      <w:lvlText w:val="o"/>
      <w:lvlJc w:val="left"/>
      <w:pPr>
        <w:ind w:left="3600" w:hanging="360"/>
      </w:pPr>
      <w:rPr>
        <w:rFonts w:ascii="Courier New" w:hAnsi="Courier New" w:hint="default"/>
      </w:rPr>
    </w:lvl>
    <w:lvl w:ilvl="5" w:tplc="C450CE2A">
      <w:start w:val="1"/>
      <w:numFmt w:val="bullet"/>
      <w:lvlText w:val=""/>
      <w:lvlJc w:val="left"/>
      <w:pPr>
        <w:ind w:left="4320" w:hanging="360"/>
      </w:pPr>
      <w:rPr>
        <w:rFonts w:ascii="Wingdings" w:hAnsi="Wingdings" w:hint="default"/>
      </w:rPr>
    </w:lvl>
    <w:lvl w:ilvl="6" w:tplc="ACB4FBB6">
      <w:start w:val="1"/>
      <w:numFmt w:val="bullet"/>
      <w:lvlText w:val=""/>
      <w:lvlJc w:val="left"/>
      <w:pPr>
        <w:ind w:left="5040" w:hanging="360"/>
      </w:pPr>
      <w:rPr>
        <w:rFonts w:ascii="Symbol" w:hAnsi="Symbol" w:hint="default"/>
      </w:rPr>
    </w:lvl>
    <w:lvl w:ilvl="7" w:tplc="FAA42FD6">
      <w:start w:val="1"/>
      <w:numFmt w:val="bullet"/>
      <w:lvlText w:val="o"/>
      <w:lvlJc w:val="left"/>
      <w:pPr>
        <w:ind w:left="5760" w:hanging="360"/>
      </w:pPr>
      <w:rPr>
        <w:rFonts w:ascii="Courier New" w:hAnsi="Courier New" w:hint="default"/>
      </w:rPr>
    </w:lvl>
    <w:lvl w:ilvl="8" w:tplc="85F220CE">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612C9C"/>
    <w:multiLevelType w:val="hybridMultilevel"/>
    <w:tmpl w:val="F20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DFC482B"/>
    <w:multiLevelType w:val="hybridMultilevel"/>
    <w:tmpl w:val="CC020F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E2D48FE"/>
    <w:multiLevelType w:val="hybridMultilevel"/>
    <w:tmpl w:val="A5BE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05879"/>
    <w:multiLevelType w:val="multilevel"/>
    <w:tmpl w:val="D47414D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C27B7"/>
    <w:multiLevelType w:val="multilevel"/>
    <w:tmpl w:val="A7C6F52E"/>
    <w:lvl w:ilvl="0">
      <w:start w:val="1"/>
      <w:numFmt w:val="bullet"/>
      <w:lvlText w:val="o"/>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C931F73"/>
    <w:multiLevelType w:val="multilevel"/>
    <w:tmpl w:val="87B2282A"/>
    <w:lvl w:ilvl="0">
      <w:start w:val="1"/>
      <w:numFmt w:val="bullet"/>
      <w:lvlText w:val="Ø"/>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953546">
    <w:abstractNumId w:val="0"/>
  </w:num>
  <w:num w:numId="2" w16cid:durableId="1200780885">
    <w:abstractNumId w:val="5"/>
  </w:num>
  <w:num w:numId="3" w16cid:durableId="268854308">
    <w:abstractNumId w:val="3"/>
  </w:num>
  <w:num w:numId="4" w16cid:durableId="1253664342">
    <w:abstractNumId w:val="6"/>
  </w:num>
  <w:num w:numId="5" w16cid:durableId="2000646237">
    <w:abstractNumId w:val="8"/>
  </w:num>
  <w:num w:numId="6" w16cid:durableId="1793161792">
    <w:abstractNumId w:val="1"/>
  </w:num>
  <w:num w:numId="7" w16cid:durableId="531646453">
    <w:abstractNumId w:val="11"/>
  </w:num>
  <w:num w:numId="8" w16cid:durableId="1396078416">
    <w:abstractNumId w:val="18"/>
  </w:num>
  <w:num w:numId="9" w16cid:durableId="984890470">
    <w:abstractNumId w:val="24"/>
  </w:num>
  <w:num w:numId="10" w16cid:durableId="1413965911">
    <w:abstractNumId w:val="22"/>
  </w:num>
  <w:num w:numId="11" w16cid:durableId="2011370949">
    <w:abstractNumId w:val="20"/>
  </w:num>
  <w:num w:numId="12" w16cid:durableId="1389573455">
    <w:abstractNumId w:val="4"/>
  </w:num>
  <w:num w:numId="13" w16cid:durableId="536090499">
    <w:abstractNumId w:val="23"/>
  </w:num>
  <w:num w:numId="14" w16cid:durableId="475416424">
    <w:abstractNumId w:val="16"/>
  </w:num>
  <w:num w:numId="15" w16cid:durableId="1216040684">
    <w:abstractNumId w:val="17"/>
  </w:num>
  <w:num w:numId="16" w16cid:durableId="846795807">
    <w:abstractNumId w:val="10"/>
  </w:num>
  <w:num w:numId="17" w16cid:durableId="1629625843">
    <w:abstractNumId w:val="25"/>
  </w:num>
  <w:num w:numId="18" w16cid:durableId="1928343868">
    <w:abstractNumId w:val="9"/>
  </w:num>
  <w:num w:numId="19" w16cid:durableId="1174877022">
    <w:abstractNumId w:val="15"/>
  </w:num>
  <w:num w:numId="20" w16cid:durableId="134874881">
    <w:abstractNumId w:val="19"/>
  </w:num>
  <w:num w:numId="21" w16cid:durableId="1572617213">
    <w:abstractNumId w:val="14"/>
  </w:num>
  <w:num w:numId="22" w16cid:durableId="2109542616">
    <w:abstractNumId w:val="13"/>
  </w:num>
  <w:num w:numId="23" w16cid:durableId="559246720">
    <w:abstractNumId w:val="21"/>
  </w:num>
  <w:num w:numId="24" w16cid:durableId="1222907847">
    <w:abstractNumId w:val="2"/>
  </w:num>
  <w:num w:numId="25" w16cid:durableId="528764105">
    <w:abstractNumId w:val="12"/>
  </w:num>
  <w:num w:numId="26" w16cid:durableId="1235239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F0C"/>
    <w:rsid w:val="0002120D"/>
    <w:rsid w:val="00033D7B"/>
    <w:rsid w:val="00066B73"/>
    <w:rsid w:val="00072B30"/>
    <w:rsid w:val="000B6081"/>
    <w:rsid w:val="000B7ADF"/>
    <w:rsid w:val="000C210D"/>
    <w:rsid w:val="000D5B56"/>
    <w:rsid w:val="00102916"/>
    <w:rsid w:val="00120AB1"/>
    <w:rsid w:val="00120DA3"/>
    <w:rsid w:val="00154611"/>
    <w:rsid w:val="00163860"/>
    <w:rsid w:val="00166BBF"/>
    <w:rsid w:val="00185DEC"/>
    <w:rsid w:val="001A3125"/>
    <w:rsid w:val="001B24A0"/>
    <w:rsid w:val="001C54D9"/>
    <w:rsid w:val="00207F48"/>
    <w:rsid w:val="00233364"/>
    <w:rsid w:val="002339EC"/>
    <w:rsid w:val="0023436C"/>
    <w:rsid w:val="0023659F"/>
    <w:rsid w:val="0024158A"/>
    <w:rsid w:val="002471DD"/>
    <w:rsid w:val="00291613"/>
    <w:rsid w:val="002F3BA6"/>
    <w:rsid w:val="003051C2"/>
    <w:rsid w:val="0033211C"/>
    <w:rsid w:val="00334699"/>
    <w:rsid w:val="00371216"/>
    <w:rsid w:val="00377C76"/>
    <w:rsid w:val="00384B63"/>
    <w:rsid w:val="003B329B"/>
    <w:rsid w:val="003C22E9"/>
    <w:rsid w:val="003C7863"/>
    <w:rsid w:val="003F0EB7"/>
    <w:rsid w:val="003F2AC6"/>
    <w:rsid w:val="004044AA"/>
    <w:rsid w:val="004500CC"/>
    <w:rsid w:val="00460B36"/>
    <w:rsid w:val="00474447"/>
    <w:rsid w:val="004A3F0F"/>
    <w:rsid w:val="004B008E"/>
    <w:rsid w:val="004B42DB"/>
    <w:rsid w:val="004B53BB"/>
    <w:rsid w:val="004F0A54"/>
    <w:rsid w:val="00530268"/>
    <w:rsid w:val="005502CA"/>
    <w:rsid w:val="00556FCA"/>
    <w:rsid w:val="005635C0"/>
    <w:rsid w:val="00595783"/>
    <w:rsid w:val="005A6E39"/>
    <w:rsid w:val="005B1EC2"/>
    <w:rsid w:val="005C3674"/>
    <w:rsid w:val="005C792A"/>
    <w:rsid w:val="005F2BD9"/>
    <w:rsid w:val="005F5ADF"/>
    <w:rsid w:val="005F71F0"/>
    <w:rsid w:val="005F7C12"/>
    <w:rsid w:val="006172CC"/>
    <w:rsid w:val="00643D7E"/>
    <w:rsid w:val="00647C5F"/>
    <w:rsid w:val="006E7FB1"/>
    <w:rsid w:val="007106D1"/>
    <w:rsid w:val="00713138"/>
    <w:rsid w:val="00741B9E"/>
    <w:rsid w:val="007444FF"/>
    <w:rsid w:val="00775C22"/>
    <w:rsid w:val="007830B6"/>
    <w:rsid w:val="007855B1"/>
    <w:rsid w:val="007A24D2"/>
    <w:rsid w:val="007A4CF6"/>
    <w:rsid w:val="007B9B91"/>
    <w:rsid w:val="007C0C0C"/>
    <w:rsid w:val="007C2F04"/>
    <w:rsid w:val="007D002D"/>
    <w:rsid w:val="007F01D6"/>
    <w:rsid w:val="00805861"/>
    <w:rsid w:val="00833C19"/>
    <w:rsid w:val="00843871"/>
    <w:rsid w:val="00882714"/>
    <w:rsid w:val="008A06BB"/>
    <w:rsid w:val="008A16EB"/>
    <w:rsid w:val="009035F6"/>
    <w:rsid w:val="0090466F"/>
    <w:rsid w:val="009064B1"/>
    <w:rsid w:val="00910266"/>
    <w:rsid w:val="00915027"/>
    <w:rsid w:val="00966F69"/>
    <w:rsid w:val="009724F4"/>
    <w:rsid w:val="009A12CD"/>
    <w:rsid w:val="009B0FBF"/>
    <w:rsid w:val="009D6182"/>
    <w:rsid w:val="009D6613"/>
    <w:rsid w:val="009D71E8"/>
    <w:rsid w:val="00A32DCF"/>
    <w:rsid w:val="00A56664"/>
    <w:rsid w:val="00A947F3"/>
    <w:rsid w:val="00AB0C42"/>
    <w:rsid w:val="00AD0BB7"/>
    <w:rsid w:val="00AD63B1"/>
    <w:rsid w:val="00B0437B"/>
    <w:rsid w:val="00B07E1F"/>
    <w:rsid w:val="00B33650"/>
    <w:rsid w:val="00B4422E"/>
    <w:rsid w:val="00B63B59"/>
    <w:rsid w:val="00B659B5"/>
    <w:rsid w:val="00B66ED9"/>
    <w:rsid w:val="00B72C26"/>
    <w:rsid w:val="00B75B06"/>
    <w:rsid w:val="00B952AD"/>
    <w:rsid w:val="00BA72CF"/>
    <w:rsid w:val="00BB077D"/>
    <w:rsid w:val="00BE166E"/>
    <w:rsid w:val="00BE27E0"/>
    <w:rsid w:val="00BF06D6"/>
    <w:rsid w:val="00C050B3"/>
    <w:rsid w:val="00C27735"/>
    <w:rsid w:val="00C30F6A"/>
    <w:rsid w:val="00CA0A9C"/>
    <w:rsid w:val="00CA0AE8"/>
    <w:rsid w:val="00CA0FF0"/>
    <w:rsid w:val="00CA5015"/>
    <w:rsid w:val="00CB6459"/>
    <w:rsid w:val="00CC1DFF"/>
    <w:rsid w:val="00CF2F68"/>
    <w:rsid w:val="00D1757A"/>
    <w:rsid w:val="00D33FE5"/>
    <w:rsid w:val="00D646C0"/>
    <w:rsid w:val="00D65701"/>
    <w:rsid w:val="00D720B4"/>
    <w:rsid w:val="00D84BA0"/>
    <w:rsid w:val="00D95F63"/>
    <w:rsid w:val="00DA7FED"/>
    <w:rsid w:val="00DC3797"/>
    <w:rsid w:val="00DE12A1"/>
    <w:rsid w:val="00DE31EF"/>
    <w:rsid w:val="00DF0A3E"/>
    <w:rsid w:val="00E42904"/>
    <w:rsid w:val="00E5315E"/>
    <w:rsid w:val="00E66558"/>
    <w:rsid w:val="00EA07EF"/>
    <w:rsid w:val="00EA5F9B"/>
    <w:rsid w:val="00EF2CCA"/>
    <w:rsid w:val="00F164DA"/>
    <w:rsid w:val="00F8343B"/>
    <w:rsid w:val="00F92D97"/>
    <w:rsid w:val="00FB464A"/>
    <w:rsid w:val="00FD4345"/>
    <w:rsid w:val="00FD5266"/>
    <w:rsid w:val="0202D71C"/>
    <w:rsid w:val="02D0383C"/>
    <w:rsid w:val="03B33C53"/>
    <w:rsid w:val="06D1B4B8"/>
    <w:rsid w:val="08E003E7"/>
    <w:rsid w:val="094CA89E"/>
    <w:rsid w:val="0969FBD5"/>
    <w:rsid w:val="09C279CC"/>
    <w:rsid w:val="0C2698C9"/>
    <w:rsid w:val="0E872C4F"/>
    <w:rsid w:val="0EE5E539"/>
    <w:rsid w:val="1079F3E6"/>
    <w:rsid w:val="110AD8A8"/>
    <w:rsid w:val="124B7D76"/>
    <w:rsid w:val="15383B33"/>
    <w:rsid w:val="15DD09DE"/>
    <w:rsid w:val="1767F832"/>
    <w:rsid w:val="195E4379"/>
    <w:rsid w:val="1A9F1CB7"/>
    <w:rsid w:val="1B133C37"/>
    <w:rsid w:val="1E806E2A"/>
    <w:rsid w:val="1F77EAAF"/>
    <w:rsid w:val="2063F2ED"/>
    <w:rsid w:val="2566A712"/>
    <w:rsid w:val="2747221B"/>
    <w:rsid w:val="29165556"/>
    <w:rsid w:val="29746743"/>
    <w:rsid w:val="29B59F8C"/>
    <w:rsid w:val="2C80AE59"/>
    <w:rsid w:val="2EF510A8"/>
    <w:rsid w:val="2FA8C0EF"/>
    <w:rsid w:val="31D7CAED"/>
    <w:rsid w:val="3520696A"/>
    <w:rsid w:val="374C75F2"/>
    <w:rsid w:val="376044DA"/>
    <w:rsid w:val="382B3E55"/>
    <w:rsid w:val="3899B7BB"/>
    <w:rsid w:val="3919279D"/>
    <w:rsid w:val="3B6F813D"/>
    <w:rsid w:val="3E91D4B9"/>
    <w:rsid w:val="40C7B53F"/>
    <w:rsid w:val="412EC7CD"/>
    <w:rsid w:val="4363FA7B"/>
    <w:rsid w:val="460238F0"/>
    <w:rsid w:val="4662E7F2"/>
    <w:rsid w:val="47FEB853"/>
    <w:rsid w:val="4834DBE8"/>
    <w:rsid w:val="4910E789"/>
    <w:rsid w:val="4C1F0754"/>
    <w:rsid w:val="4CF9883C"/>
    <w:rsid w:val="4F56A816"/>
    <w:rsid w:val="50E5DDB8"/>
    <w:rsid w:val="536D6C5D"/>
    <w:rsid w:val="55093CBE"/>
    <w:rsid w:val="588DCF64"/>
    <w:rsid w:val="59F0C394"/>
    <w:rsid w:val="5CFB2646"/>
    <w:rsid w:val="5D0EE55B"/>
    <w:rsid w:val="5D6238D4"/>
    <w:rsid w:val="5E81A24C"/>
    <w:rsid w:val="6235A9F7"/>
    <w:rsid w:val="656D4AB9"/>
    <w:rsid w:val="675A0475"/>
    <w:rsid w:val="683F401D"/>
    <w:rsid w:val="69B20251"/>
    <w:rsid w:val="6AF00ED9"/>
    <w:rsid w:val="6B484256"/>
    <w:rsid w:val="6CD451F2"/>
    <w:rsid w:val="70B7EAE6"/>
    <w:rsid w:val="70E17D62"/>
    <w:rsid w:val="70F65610"/>
    <w:rsid w:val="75C91B87"/>
    <w:rsid w:val="76C3E1A4"/>
    <w:rsid w:val="76D4B94A"/>
    <w:rsid w:val="774D254A"/>
    <w:rsid w:val="776468A4"/>
    <w:rsid w:val="776A4F2B"/>
    <w:rsid w:val="78A790C0"/>
    <w:rsid w:val="78C2FCCB"/>
    <w:rsid w:val="7D77E00F"/>
    <w:rsid w:val="7EDFCB2F"/>
    <w:rsid w:val="7EF5CB63"/>
    <w:rsid w:val="7FA8B3BA"/>
    <w:rsid w:val="7FE0AD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uiPriority w:val="34"/>
    <w:qFormat/>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5" ma:contentTypeDescription="Create a new document." ma:contentTypeScope="" ma:versionID="d9595271efb3c8650d4967924c1f027c">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1357131bdf8eb43d66494ede2727"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8d32d58-2605-4773-8a2f-49f4bec6ce8c}"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976eb1c-1390-4e9e-89cb-d3ad699d03d4" xsi:nil="true"/>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7546E-3EAD-477B-A643-0E3E9EFA5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CCACF-9F51-437A-B0F3-175CF1FD4448}">
  <ds:schemaRefs>
    <ds:schemaRef ds:uri="http://schemas.microsoft.com/office/2006/metadata/properties"/>
    <ds:schemaRef ds:uri="http://schemas.microsoft.com/office/infopath/2007/PartnerControls"/>
    <ds:schemaRef ds:uri="7976eb1c-1390-4e9e-89cb-d3ad699d03d4"/>
    <ds:schemaRef ds:uri="6066b147-4980-422b-b022-204d86c8f5fb"/>
  </ds:schemaRefs>
</ds:datastoreItem>
</file>

<file path=customXml/itemProps3.xml><?xml version="1.0" encoding="utf-8"?>
<ds:datastoreItem xmlns:ds="http://schemas.openxmlformats.org/officeDocument/2006/customXml" ds:itemID="{6894D027-A492-46F4-BEA4-6EC37BFC1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E Brocklesby (St Ambrose)</cp:lastModifiedBy>
  <cp:revision>2</cp:revision>
  <cp:lastPrinted>2023-12-20T12:32:00Z</cp:lastPrinted>
  <dcterms:created xsi:type="dcterms:W3CDTF">2023-12-20T13:30:00Z</dcterms:created>
  <dcterms:modified xsi:type="dcterms:W3CDTF">2023-12-20T13:30:00Z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0x010100FBD3C129883CB1479BC131496C283512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525200</vt:r8>
  </property>
  <property fmtid="{D5CDD505-2E9C-101B-9397-08002B2CF9AE}" pid="14" name="xd_Signature">
    <vt:bool>false</vt:bool>
  </property>
  <property fmtid="{D5CDD505-2E9C-101B-9397-08002B2CF9AE}" pid="15" name="xd_ProgID">
    <vt:lpwstr/>
  </property>
  <property fmtid="{D5CDD505-2E9C-101B-9397-08002B2CF9AE}" pid="16" name="_ExtendedDescription">
    <vt:lpwstr/>
  </property>
  <property fmtid="{D5CDD505-2E9C-101B-9397-08002B2CF9AE}" pid="17" name="TriggerFlowInfo">
    <vt:lpwstr/>
  </property>
  <property fmtid="{D5CDD505-2E9C-101B-9397-08002B2CF9AE}" pid="18" name="ComplianceAssetId">
    <vt:lpwstr/>
  </property>
  <property fmtid="{D5CDD505-2E9C-101B-9397-08002B2CF9AE}" pid="19" name="TemplateUrl">
    <vt:lpwstr/>
  </property>
  <property fmtid="{D5CDD505-2E9C-101B-9397-08002B2CF9AE}" pid="20" name="MediaServiceImageTags">
    <vt:lpwstr/>
  </property>
</Properties>
</file>